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25-TA-2969: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Ēku energoefektivitātes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15.07.2026.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15.07.2026.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pants. "</w:t>
            </w:r>
            <w:r w:rsidR="00000000" w:rsidRPr="00000000" w:rsidDel="00000000">
              <w:rPr>
                <w:b w:val="1"/>
                <w:rtl w:val="0"/>
              </w:rPr>
              <w:t xml:space="preserve">3.</w:t>
            </w:r>
            <w:r w:rsidR="00000000" w:rsidRPr="00000000" w:rsidDel="00000000">
              <w:rPr>
                <w:b w:val="1"/>
                <w:vertAlign w:val="superscript"/>
                <w:rtl w:val="0"/>
              </w:rPr>
              <w:t xml:space="preserve">1</w:t>
            </w:r>
            <w:r w:rsidR="00000000" w:rsidRPr="00000000" w:rsidDel="00000000">
              <w:rPr>
                <w:b w:val="1"/>
                <w:rtl w:val="0"/>
              </w:rPr>
              <w:t xml:space="preserve"> pants.</w:t>
            </w:r>
            <w:r w:rsidR="00000000" w:rsidRPr="00000000" w:rsidDel="00000000">
              <w:rPr>
                <w:rtl w:val="0"/>
              </w:rPr>
              <w:t xml:space="preserve"> Publisko sektora subjektu ēku atjaunošana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Publiskā sektora subjektu ēku atjaunošanas apjomu nosaka un tā izpildi nodrošina ministrijas vai pašvaldības līmenī, ņemot vērā attiecīgās ministrijas valdījumā esošās valsts īpašumā esošās ēkas, attiecīgās pašvaldības īpašumā esošās ēkas, kā arī to padotībā vai pārraudzībā esošo publiskā sektora subjektu īpašumā esošās ēkas.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Šā panta prasības piemēro ministriju valdījumā esošām valsts īpašumā esošām ēkām, pašvaldību īpašumā esošām ēkām, kā arī citu publiskā sektora subjektu īpašumā vai valdījumā esošām ēkām, kuru kopējā lietderīgā iekštelpu platība pārsniedz 250 kvadrātmetrus, kurās enerģiju izmanto iekštelpu mikroklimata regulēšanai un kuras uz 2024. gada 1. janvāri neatbilst gandrīz nulles enerģijas ēkas prasībām. Šā panta prasības piemēro arī šā likuma 3. panta otrās daļas 2., 3. un 9. punktā minētajām ēkām, ja tās atbilst šajā daļā minētajiem kritērijiem.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Katru gadu atjauno vismaz trīs procentus no attiecīgās ministrijas vai pašvaldības līmenī noteiktās šā panta otrajā daļā minēto ēku kopējās lietderīgās iekštelpu platības, lai ēka vai tās daļa pēc atjaunošanas atbilstu vismaz gandrīz nulles enerģijas ēkas prasībām.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Šā panta trešajā daļā noteiktās prasības nepiemēro sociālajām dzīvojamām mājām, ja to atjaunošana nav izmaksu ziņā neitrāla vai ja atjaunošanas rezultātā īres maksas pieaugums pārsniegtu attiecīgās ēkas iedzīvotāju enerģijas izmaksu ietaupījumu.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Ēku ieskaita attiecīgās ministrijas vai pašvaldības līmenī noteiktajā publiskā sektora subjektu īpašumā esošo ēku kopējā lietderīgajā iekštelpu platībā arī tad, ja šo ēku tehniski, ekonomiski vai funkcionāli nav iespējams atjaunot tā, lai tā pēc atjaunošanas atbilstu vismaz gandrīz nulles enerģijas ēkas prasībām.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Ja attiecīgajā gadā ministrijas vai pašvaldības līmenī atjaunotā publiskā sektora subjektu īpašumā esošo ēku kopējā lietderīgā iekštelpu platība pārsniedz šā panta trešajā daļā noteikto ikgadējo atjaunošanas apjomu, pārsniegumu var ieskaitīt attiecīgās ministrijas vai pašvaldības turpmāko gadu ikgadējā atjaunošanas apjoma izpildē, līdz pārsnieguma apjoms ir pilnībā izmantots.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Šā panta trešajā daļā noteiktā ikgadējā atjaunošanas apjoma izpildē var ieskaitīt jaunu publiskā sektora subjekta īpašumā esošu ēku, kas aizstāj tādu publiskā sektora subjekta īpašumā bijušu ēku, kura nojaukta vai atsavināta.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Būvniecības valsts kontroles birojs izveido, uztur, ne retāk kā reizi divos gados aktualizē un savā tīmekļvietnē publicē publiskā sektora subjektu īpašumā esošo ēku sarakstu. Sarakstā iekļauj ēkas, kuru kopējā lietderīgā iekštelpu platība pārsniedz 250 kvadrātmetrus, norādot vismaz ēkas kopējo lietderīgo iekštelpu platību un energosnieguma sertifikātā norādīto ēkas energosnieguma klasi. Būvniecības valsts kontroles birojs, pamatojoties uz šajā sarakstā iekļauto informāciju un publiskā sektora subjektu sniegto informāciju, nodrošina šā panta trešajā daļā noteiktā ikgadējā atjaunošanas apjoma un tā izpildes aprēķinu attiecīgās ministrijas, pašvaldības un valsts līmenī.</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Publiskā sektora subjekti katru gadu līdz 1. februārim Energoresursu informācijas sistēmā sniedz informāciju par iepriekšējo kalendāro gadu, kas nepieciešama šā panta astotajā daļā minētā saraksta izveidei, uzturēšanai un aktualizēšanai, kā arī šā panta trešajā daļā noteiktā ikgadējā atjaunošanas apjoma un tā izpildes aprēķinam ministrijas, pašvaldības un valsts līmenī..".</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"3.</w:t>
            </w:r>
            <w:r w:rsidR="00000000" w:rsidRPr="00000000" w:rsidDel="00000000">
              <w:rPr>
                <w:vertAlign w:val="superscript"/>
                <w:rtl w:val="0"/>
              </w:rPr>
              <w:t xml:space="preserve">1</w:t>
            </w:r>
            <w:r w:rsidR="00000000" w:rsidRPr="00000000" w:rsidDel="00000000">
              <w:rPr>
                <w:rtl w:val="0"/>
              </w:rPr>
              <w:t xml:space="preserve"> panta trešajā daļā noteiktās prasības paredz katru gadu atjaunot vismaz trīs procentus no attiecīgās ministrijas noteiktās ēku kopējās lietderīgās iekštelpu platības, lai ēka vai tās daļa pēc atjaunošanas atbilstu vismaz gandrīz nulles enerģijas ēkas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lielākā daļa Iekšlietu ministrijas valdījumā esošo ēku ir sliktā tehniskā stāvoklī un tikai pāris procenti no visām ēkām ir nodotas ekspluatācijā pēc 2000.gada. Vissliktākajā stāvoklī ir Valsts ugunsdzēsības un glābšanas dienesta un Valsts policijas lietošanā esošās ēkas. Lai iekšlietu ministrijas pamata portfelī esošās ēkas atjaunotu tādā apmērā, ka pēc atjaunošanas tās atbilstu vismaz gandrīz nulles enerģijas ēkas prasībām, Iekšlietu ministrijai būs nepieciešami ievērojami papildu finanšu līdzekļi, tādēļ lūdzam tiesību akta projektā identificēt resursu avotus tajā paredzēto prasību izpildes nodrošināšanai. Šobrīd tiesību akta projekta anotācijā tiek norādīts, ka likumprojektā paredzēto normu īstenošana tiks nodrošināta to izpildē iesaistīto institūciju esošo līdzekļu ietvaros, kas neatbilst faktiskajai situācijai.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nedzīvojamu ēku, kuras kopējā lietderīgā iekštelpu platība pārsniedz 250 m</w:t>
            </w:r>
            <w:r w:rsidR="00000000" w:rsidRPr="00000000" w:rsidDel="00000000">
              <w:rPr>
                <w:vertAlign w:val="superscript"/>
                <w:rtl w:val="0"/>
              </w:rPr>
              <w:t xml:space="preserve">2</w:t>
            </w:r>
            <w:r w:rsidR="00000000" w:rsidRPr="00000000" w:rsidDel="00000000">
              <w:rPr>
                <w:rtl w:val="0"/>
              </w:rPr>
              <w:t xml:space="preserve"> atjaunotu tādā mērā, ka tā atbilst vismaz gandrīz nulles enerģijas ēkas prasībām saskaņā ar Ministru kabineta 2021. gada 8. aprīļa noteikumu Nr. 222 "Ēku energoefektivitātes aprēķina metodes un ēku energosertifikācijas noteikumi" 8. punktā noteiktajām prasībām, viens no izpildāmajiem kritērijiem paredz, ka energoefektivitātes rādītājs apkurei nedrīkst pārsniegt 45 kWh/m</w:t>
            </w:r>
            <w:r w:rsidR="00000000" w:rsidRPr="00000000" w:rsidDel="00000000">
              <w:rPr>
                <w:vertAlign w:val="superscript"/>
                <w:rtl w:val="0"/>
              </w:rPr>
              <w:t xml:space="preserve">2</w:t>
            </w:r>
            <w:r w:rsidR="00000000" w:rsidRPr="00000000" w:rsidDel="00000000">
              <w:rPr>
                <w:rtl w:val="0"/>
              </w:rPr>
              <w:t xml:space="preserve"> gadā. Šajā sakarā norādāms, ka Iekšlietu ministrija šobrīd piedalās Eiropas Reģionālās attīstības fonda 2.1.1.4. pasākuma “Energoefektivitātes paaugstināšana valsts ēkās” pirmās kārtas projektā “Energoefektivitātes paaugstināšanas pasākumi Iekšlietu ministrijas valdījumā esošajām ēkām”, ID Nr.2.1.1.4/1/25/I/036, kura ietvaros  paredzēts paaugstināt energoefektivitāti Iekšlietu ministrijas valdījumā esošajās ēkās, īstenojot nepieciešamos ēku atjaunošanas un energoefektivitātes uzlabošanas pasākumus, lai katrā ēkā panāktu vismaz 30 % primārās enerģijas ietaupījumu. Projekta rezultātā paredzēts uzlabot energoefektivitāti 18 ēkām. Tāpat Iekšlietu ministrija ir iesniegusi pieteikumu dalībai Emisijas kvotu izsolīšanas instrumenta finansēto projektu atklātā konkursa “Siltumnīcefekta gāzu emisiju samazināšana Iekšlietu ministrijas sistēmas iestāžu un pašvaldību policijas institūciju ēkās” 2. kārtā, kura ietvaros ir paredzēts samazināt siltumnīcefekta gāzu emisijas un uzlabot energoefektivitāti sešām ēkām. Viens no projekta sasniedzamajiem rezultātiem nosaka maksimālo patēriņu apkurei - pēc projekta pabeigšanas plānotais enerģijas patēriņš apkurei uz ēkas aprēķina platību nedrīkst pārsniegt 65 kWh/m</w:t>
            </w:r>
            <w:r w:rsidR="00000000" w:rsidRPr="00000000" w:rsidDel="00000000">
              <w:rPr>
                <w:vertAlign w:val="superscript"/>
                <w:rtl w:val="0"/>
              </w:rPr>
              <w:t xml:space="preserve">2</w:t>
            </w:r>
            <w:r w:rsidR="00000000" w:rsidRPr="00000000" w:rsidDel="00000000">
              <w:rPr>
                <w:rtl w:val="0"/>
              </w:rPr>
              <w:t xml:space="preserve"> 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ministrijas ieskatā minēto projektu ietvaros paaugstinot energoefektivitāti un samazinot siltumnīcefekta gāzu emisijas 24 ēkās, gandrīz nulles enerģijas ēkas prasības var netikt sasniegtas nevienā no minētajām ēkām, līdz ar to turpmākajos gados var netikt sasniegti tiesību akta projektā izvirzītie nosacījumi.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iepriekš minēto, aicinām Ekonomikas ministriju vērtēt tiesību akta projektā izvirzīto nosacījumu atbilstību šobrīd un nākotnē īstenojamajiem ēku energoefektivitātes paaugstināšanas pasākumiem (konkursiem).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Vijars Zadarožnajs (IEM) (Agate Sirmā (IEM) vietā)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pants. "3.</w:t>
            </w:r>
            <w:r w:rsidR="00000000" w:rsidRPr="00000000" w:rsidDel="00000000">
              <w:rPr>
                <w:vertAlign w:val="superscript"/>
                <w:rtl w:val="0"/>
              </w:rPr>
              <w:t xml:space="preserve">2</w:t>
            </w:r>
            <w:r w:rsidR="00000000" w:rsidRPr="00000000" w:rsidDel="00000000">
              <w:rPr>
                <w:rtl w:val="0"/>
              </w:rPr>
              <w:t xml:space="preserve"> Ja publiskā sektora subjekts lieto ēku, kas nav tā īpašumā vai valdījumā, tas risina sarunas ar ēkas īpašnieku par līguma nosacījumiem, kas veicinātu ēkas atjaunošanu līdz vismaz gandrīz nulles enerģijas ēkas prasībām, ja tiek atjaunots nomas vai lietošanas līgums, mainīts ēkas lietošanas veids vai ēkā plānoti būtiski remonta, atjaunošanas vai uzturēšanas darbi.".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projekts un tā anotācija paredz, ka publiskā sektora subjekts, nomājot ēku vai izmantojot to uz cita tiesiska pamata, noteiktos gadījumos risina sarunas ar ēkas īpašnieku par tādu līguma nosacījumu iekļaušanu, kas veicinātu ēkas atjaunošanu līdz vismaz gandrīz nulles enerģijas ēkas prasībām. No minētās normas nav skaidri saprotams vai nosacījums "risina sarunas " ir ar ieteikuma raksturu vai imperatīvu raksturu. Aicinām minētās normas piemērošanas nosacījumus plašāk paskaidrot anotācijā.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norādām, ka situācijās, kad nav pieejami Iekšlietu ministrijas valdījumā esoši nekustamie īpašumi, ministrijas padotības iestādes savu uzdevumu izpildei nepieciešamos nekustamos īpašumus nomā. Ēku energoefektivitātes likums arī turpmāk paredzēs, ka publiskās personas subjekts nomā tikai tādas ēkas, kas atbilst būvniecību regulējošos normatīvajos aktos noteiktajām energoefektivitātes minimālajām prasībām, ko apliecina ēkas energosertifikāts. Savukārt, ja publiskā sektora subjekts lieto ēku, kas nav tā īpašumā vai valdījumā, tam turpmāk būs jārisina sarunas ar ēkas īpašnieku par līguma nosacījumiem, kas veicinātu ēkas atjaunošanu līdz vismaz gandrīz nulles enerģijas ēkas prasībām, ja tiek atjaunots nomas vai lietošanas līgums, mainīts ēkas lietošanas veids vai ēkā plānoti būtiski remonta, atjaunošanas vai uzturēšanas darbi. Minētais būs attiecināms atjaunojot nomas līgumus gan ar privātīpašniekiem, gan valsts akciju sabiedrību "Valsts nekustamie īpašumi", u.c..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Iekšietu ministrijas ieskatā lielākajā daļā nomāto objektu nebūs iespējams ēku atjaunot līdz vismaz gandrīz nulles enerģijas ēkas prasībām, vai arī nekustamā īpašuma īpašnieks to nevarēs paveikt finansiālu apsvērumu dēļ, vai vienkārši nevēlēsies veikt atjaunošanu nepieciešamajā apmērā. Izpildoties iepriekš minētajam publiskas personas subjekts nevarēs nodrošināt valsts pārvaldes funkciju veikšanu, piemēram, Valsts policija nevarēs nodrošināt likumā noteikto valsts pārvaldes funkciju – sabiedrības drošības garantēšanu un noziedzības apkarošanu, jo minēto iemeslu dēļ nevarēs atjaunot nomas līgumu par ēkas nomu, kas iepriekš speciāli pielāgota specifiskām tās vajadzībām -  ierīkota īslaicīgās aizturēšanas vieta, telpas pielāgotas darbam ar klasificēto informāciju, u.c.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iepriekš minēto, lūdzam papildus skaidrot turpmāko publiskās personas subjekta rīcību šādos gadījumos.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Vijars Zadarožnajs (IEM) (Agate Sirmā (IEM) vietā)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tiesību akta projekta anotācijā norādītajam, tam nav ietekmes uz valsts un pašvaldību budžetiem. Vienlaikus tiesību akta projektā noteiktās prasības paredz katru gadu atjaunot vismaz trīs procentus no attiecīgās ministrijas noteiktās ēku kopējās lietderīgās iekštelpu platības, lai ēka vai tās daļa pēc atjaunošanas </w:t>
            </w:r>
            <w:r w:rsidR="00000000" w:rsidRPr="00000000" w:rsidDel="00000000">
              <w:rPr>
                <w:u w:val="single"/>
                <w:rtl w:val="0"/>
              </w:rPr>
              <w:t xml:space="preserve">atbilstu vismaz gandrīz nulles enerģijas ēkas prasībām.</w:t>
            </w:r>
            <w:r w:rsidR="00000000" w:rsidRPr="00000000" w:rsidDel="00000000">
              <w:rPr>
                <w:rtl w:val="0"/>
              </w:rPr>
              <w:t xml:space="preserve"> Norādāms, ka minēto prasību izpildei Iekšlietu ministrijai būs nepieciešams papildu finansējums. Lūdzam norādīt tiesību akta projekta ietekmi uz valsts un pašvaldības budžetiem, identificējot arī resursu avotus tajā paredzēto prasību izpildes nodrošināšanai.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Vijars Zadarožnajs (IEM) (Agate Sirmā (IEM) vietā)</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25-TA-2969</w:t>
    </w:r>
    <w:r>
      <w:br/>
    </w:r>
    <w:r w:rsidR="00000000" w:rsidRPr="00000000" w:rsidDel="00000000">
      <w:rPr>
        <w:rtl w:val="0"/>
      </w:rPr>
      <w:t xml:space="preserve">Izdrukāts 15.07.2026. 12.23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25-TA-2969</w:t>
    </w:r>
    <w:r>
      <w:br/>
    </w:r>
    <w:r w:rsidR="00000000" w:rsidRPr="00000000" w:rsidDel="00000000">
      <w:rPr>
        <w:rtl w:val="0"/>
      </w:rPr>
      <w:t xml:space="preserve">Izdrukāts 15.07.2026. 12.23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Atzinumi_25-TA-2969.docx</dc:title>
</cp:coreProperties>
</file>

<file path=docProps/custom.xml><?xml version="1.0" encoding="utf-8"?>
<Properties xmlns="http://schemas.openxmlformats.org/officeDocument/2006/custom-properties" xmlns:vt="http://schemas.openxmlformats.org/officeDocument/2006/docPropsVTypes"/>
</file>