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kārtība atklātu projektu konkursa veidā Eiropas lauksaimniecības fonda lauku attīstībai investīcijām materiālajos aktīvos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administratīvo izmaksu aprēķinu, jo tas nevar būt identisks gan fizisko, gan juridisko personu grupā, ņemot vērā kopējo plānoto projektu skaitu. Plānoto projektu skaits jāsadala starp abām grupām, balstoties uz informāciju un datiem par abu mērķgrupu īpatsvaru atbalsta pretendentu kopējā skaitā iepriekš īstenotās līdzīgās atbalsta programmās. Plānoto projektu skaita sadalījums starp mērķa grupām var tik balstīts arī uz citiem ticamiem (pēc iespējas datos balstītiem) pieņēmumiem.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iekļaut administratīvo izmaksu monetāro novērtējumu, aprēķinot atbildīgo institūciju izmaksas iesniegto projektu pieteikumu izvērtēšanai un lēmumu pieņemšanai par atbalsta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23-TA-1439</w:t>
    </w:r>
    <w:r>
      <w:br/>
    </w:r>
    <w:r w:rsidR="00000000" w:rsidRPr="00000000" w:rsidDel="00000000">
      <w:rPr>
        <w:rtl w:val="0"/>
      </w:rPr>
      <w:t xml:space="preserve">Izdrukāts 14.03.2024. 08.35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23-TA-1439</w:t>
    </w:r>
    <w:r>
      <w:br/>
    </w:r>
    <w:r w:rsidR="00000000" w:rsidRPr="00000000" w:rsidDel="00000000">
      <w:rPr>
        <w:rtl w:val="0"/>
      </w:rPr>
      <w:t xml:space="preserve">Izdrukāts 14.03.2024. 08.35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Atzinumi_23-TA-1439.docx</dc:title>
</cp:coreProperties>
</file>

<file path=docProps/custom.xml><?xml version="1.0" encoding="utf-8"?>
<Properties xmlns="http://schemas.openxmlformats.org/officeDocument/2006/custom-properties" xmlns:vt="http://schemas.openxmlformats.org/officeDocument/2006/docPropsVTypes"/>
</file>