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Publiskā finansējuma apmēra un vidējās svērtās publiskā finansējuma atbalsta intensitātes noteikšana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2024.gada 24.aprīļa saskaņošanas sanāksmē pārrunāto par to, ka Izglītības un zinātnes ministrija kā noteikumu projekta izstrādātājs iekļaus anotācijā skaidrojumu par publiskā finansējuma apmēra un vidējās svērtās publiskā finansējuma atbalsta intensitātes noteikšanas mērķi un loģiku, nodrošinot, ka vidējā svērtā finansējuma apmērs nav saistīts ar un nepārkāps komercdarbības atbalsta regulējumā noteiktās intensitātes, taču TAP virzītajā saskaņošanā pievienotajā anotācijā šis skaidrojums iekļauts nav, aicinām ar attiecīgo informāciju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piemērojot projektam kopumā vidējo svērto intensitāti, izmaksām, kurām jāpiemēro attiecīga no piemērojamā komercdarbības atbalsta regulējuma izrietoša intensitāte, praksē var sanākt, ka tiek piemērota augstāka atbalsta intensitāte, nekā to pieļauj piemērojamais komercdarbības atbalsta regulējums, kas nozīmēs piemērojamā komercdarbības atbalsta regulējuma pārkāpumu. Lūdzam Jūs nodrošināt, ka konkrētām attiecināmajām izmaksām tiek piemērota korektā komercdarbības atbalsta regulējumā noteiktā intensitāte un nepastāv risks to pārsniegt.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6.2.apakšpunkta pēdējo teikumu, skaitli “2027” aizstājot ar “2028”, kā arī novērst matemātisko neprecizitāti (1 euro novirze).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03.05.2024.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03.05.2024.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