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392CAA" w14:textId="1FFC576F" w:rsidR="00EC306A" w:rsidRPr="00ED53AE" w:rsidRDefault="00EC306A" w:rsidP="00AF4FF1">
      <w:pPr>
        <w:jc w:val="left"/>
        <w:rPr>
          <w:szCs w:val="24"/>
        </w:rPr>
      </w:pPr>
      <w:r w:rsidRPr="00ED53AE">
        <w:rPr>
          <w:szCs w:val="24"/>
        </w:rPr>
        <w:t xml:space="preserve">Uz </w:t>
      </w:r>
      <w:r w:rsidR="00DF2EBC" w:rsidRPr="00ED53AE">
        <w:rPr>
          <w:szCs w:val="24"/>
        </w:rPr>
        <w:t>04</w:t>
      </w:r>
      <w:r w:rsidR="00233D4C" w:rsidRPr="00ED53AE">
        <w:rPr>
          <w:szCs w:val="24"/>
        </w:rPr>
        <w:t>.</w:t>
      </w:r>
      <w:r w:rsidR="004A7866" w:rsidRPr="00ED53AE">
        <w:rPr>
          <w:szCs w:val="24"/>
        </w:rPr>
        <w:t>0</w:t>
      </w:r>
      <w:r w:rsidR="00DF2EBC" w:rsidRPr="00ED53AE">
        <w:rPr>
          <w:szCs w:val="24"/>
        </w:rPr>
        <w:t>3</w:t>
      </w:r>
      <w:r w:rsidRPr="00ED53AE">
        <w:rPr>
          <w:szCs w:val="24"/>
        </w:rPr>
        <w:t>.202</w:t>
      </w:r>
      <w:r w:rsidR="004A7866" w:rsidRPr="00ED53AE">
        <w:rPr>
          <w:szCs w:val="24"/>
        </w:rPr>
        <w:t>1</w:t>
      </w:r>
      <w:r w:rsidRPr="00ED53AE">
        <w:rPr>
          <w:szCs w:val="24"/>
        </w:rPr>
        <w:t>.</w:t>
      </w:r>
      <w:r w:rsidR="00233D4C" w:rsidRPr="00ED53AE">
        <w:rPr>
          <w:szCs w:val="24"/>
        </w:rPr>
        <w:t xml:space="preserve"> VSS prot.</w:t>
      </w:r>
      <w:r w:rsidRPr="00ED53AE">
        <w:rPr>
          <w:szCs w:val="24"/>
        </w:rPr>
        <w:t xml:space="preserve"> </w:t>
      </w:r>
      <w:r w:rsidR="002B5F69" w:rsidRPr="00ED53AE">
        <w:rPr>
          <w:szCs w:val="24"/>
        </w:rPr>
        <w:t>9</w:t>
      </w:r>
      <w:r w:rsidR="00233D4C" w:rsidRPr="00ED53AE">
        <w:rPr>
          <w:szCs w:val="24"/>
        </w:rPr>
        <w:t xml:space="preserve"> 3. § (VSS-15</w:t>
      </w:r>
      <w:r w:rsidR="00DF2EBC" w:rsidRPr="00ED53AE">
        <w:rPr>
          <w:szCs w:val="24"/>
        </w:rPr>
        <w:t>3</w:t>
      </w:r>
      <w:r w:rsidR="00233D4C" w:rsidRPr="00ED53AE">
        <w:rPr>
          <w:szCs w:val="24"/>
        </w:rPr>
        <w:t>)</w:t>
      </w:r>
    </w:p>
    <w:p w14:paraId="626E48F0" w14:textId="77777777" w:rsidR="00AF4FF1" w:rsidRPr="00ED53AE" w:rsidRDefault="00AF4FF1" w:rsidP="00AF4FF1">
      <w:pPr>
        <w:jc w:val="left"/>
        <w:rPr>
          <w:szCs w:val="24"/>
        </w:rPr>
      </w:pPr>
    </w:p>
    <w:p w14:paraId="637D33EC" w14:textId="6F4403AA" w:rsidR="00692C7A" w:rsidRPr="00ED53AE" w:rsidRDefault="008B5EB5" w:rsidP="00AF4FF1">
      <w:pPr>
        <w:ind w:firstLine="5387"/>
        <w:jc w:val="right"/>
        <w:rPr>
          <w:b/>
          <w:bCs/>
          <w:szCs w:val="24"/>
        </w:rPr>
      </w:pPr>
      <w:r w:rsidRPr="00ED53AE">
        <w:rPr>
          <w:b/>
          <w:bCs/>
          <w:szCs w:val="24"/>
        </w:rPr>
        <w:t>Finanšu</w:t>
      </w:r>
      <w:r w:rsidR="002303C8" w:rsidRPr="00ED53AE">
        <w:rPr>
          <w:b/>
          <w:bCs/>
          <w:szCs w:val="24"/>
        </w:rPr>
        <w:t xml:space="preserve"> ministrijai</w:t>
      </w:r>
    </w:p>
    <w:p w14:paraId="0B40EC0A" w14:textId="77777777" w:rsidR="00AF4FF1" w:rsidRPr="00ED53AE" w:rsidRDefault="00AF4FF1" w:rsidP="00AF4FF1">
      <w:pPr>
        <w:ind w:firstLine="5387"/>
        <w:jc w:val="right"/>
        <w:rPr>
          <w:b/>
          <w:bCs/>
          <w:szCs w:val="24"/>
        </w:rPr>
      </w:pPr>
    </w:p>
    <w:p w14:paraId="16508FCB" w14:textId="17B5B663" w:rsidR="00EC306A" w:rsidRPr="00ED53AE" w:rsidRDefault="00EC306A" w:rsidP="009E0303">
      <w:pPr>
        <w:widowControl/>
        <w:ind w:right="5682"/>
        <w:rPr>
          <w:i/>
          <w:iCs/>
          <w:szCs w:val="24"/>
        </w:rPr>
      </w:pPr>
      <w:r w:rsidRPr="00ED53AE">
        <w:rPr>
          <w:i/>
          <w:iCs/>
          <w:szCs w:val="24"/>
        </w:rPr>
        <w:t xml:space="preserve">Atzinums par </w:t>
      </w:r>
      <w:bookmarkStart w:id="0" w:name="_Hlk66373833"/>
      <w:bookmarkStart w:id="1" w:name="_Hlk66397786"/>
      <w:bookmarkStart w:id="2" w:name="_Hlk62818528"/>
      <w:r w:rsidR="008B5EB5" w:rsidRPr="00ED53AE">
        <w:rPr>
          <w:i/>
          <w:iCs/>
          <w:szCs w:val="24"/>
        </w:rPr>
        <w:t>likumprojektu</w:t>
      </w:r>
      <w:r w:rsidR="00233D4C" w:rsidRPr="00ED53AE">
        <w:rPr>
          <w:i/>
          <w:iCs/>
          <w:szCs w:val="24"/>
        </w:rPr>
        <w:t xml:space="preserve"> “</w:t>
      </w:r>
      <w:r w:rsidR="008B5EB5" w:rsidRPr="00ED53AE">
        <w:rPr>
          <w:i/>
          <w:iCs/>
          <w:szCs w:val="24"/>
        </w:rPr>
        <w:t>Ieguldījumu brokeru sabiedrību likums</w:t>
      </w:r>
      <w:r w:rsidR="00233D4C" w:rsidRPr="00ED53AE">
        <w:rPr>
          <w:i/>
          <w:iCs/>
          <w:szCs w:val="24"/>
        </w:rPr>
        <w:t>”</w:t>
      </w:r>
      <w:bookmarkEnd w:id="0"/>
      <w:bookmarkEnd w:id="1"/>
    </w:p>
    <w:bookmarkEnd w:id="2"/>
    <w:p w14:paraId="03A36903" w14:textId="35D61913" w:rsidR="00692C7A" w:rsidRPr="00ED53AE" w:rsidRDefault="00692C7A" w:rsidP="00AF4FF1">
      <w:pPr>
        <w:rPr>
          <w:szCs w:val="24"/>
        </w:rPr>
      </w:pPr>
    </w:p>
    <w:p w14:paraId="70897BA8" w14:textId="7C1CF815" w:rsidR="006E6540" w:rsidRPr="00ED53AE" w:rsidRDefault="00EC306A" w:rsidP="00CF0D55">
      <w:pPr>
        <w:ind w:firstLine="567"/>
        <w:rPr>
          <w:szCs w:val="24"/>
        </w:rPr>
      </w:pPr>
      <w:r w:rsidRPr="00ED53AE">
        <w:rPr>
          <w:szCs w:val="24"/>
        </w:rPr>
        <w:t xml:space="preserve">Tieslietu ministrija ir izskatījusi </w:t>
      </w:r>
      <w:r w:rsidR="008B5EB5" w:rsidRPr="00ED53AE">
        <w:rPr>
          <w:szCs w:val="24"/>
        </w:rPr>
        <w:t>Finanšu</w:t>
      </w:r>
      <w:r w:rsidR="00F41E26" w:rsidRPr="00ED53AE">
        <w:rPr>
          <w:szCs w:val="24"/>
        </w:rPr>
        <w:t xml:space="preserve"> ministrijas</w:t>
      </w:r>
      <w:r w:rsidRPr="00ED53AE">
        <w:rPr>
          <w:szCs w:val="24"/>
        </w:rPr>
        <w:t xml:space="preserve"> izstrādāto </w:t>
      </w:r>
      <w:r w:rsidR="008B5EB5" w:rsidRPr="00ED53AE">
        <w:rPr>
          <w:szCs w:val="24"/>
        </w:rPr>
        <w:t xml:space="preserve">likumprojektu “Ieguldījumu brokeru sabiedrību likums” (turpmāk – </w:t>
      </w:r>
      <w:r w:rsidR="007532B6" w:rsidRPr="00ED53AE">
        <w:rPr>
          <w:szCs w:val="24"/>
        </w:rPr>
        <w:t>l</w:t>
      </w:r>
      <w:r w:rsidR="008B5EB5" w:rsidRPr="00ED53AE">
        <w:rPr>
          <w:szCs w:val="24"/>
        </w:rPr>
        <w:t xml:space="preserve">ikumprojekts) un tā sākotnējās ietekmes novērtējuma ziņojumu (anotāciju) (turpmāk – </w:t>
      </w:r>
      <w:r w:rsidR="007532B6" w:rsidRPr="00ED53AE">
        <w:rPr>
          <w:szCs w:val="24"/>
        </w:rPr>
        <w:t>a</w:t>
      </w:r>
      <w:r w:rsidR="008B5EB5" w:rsidRPr="00ED53AE">
        <w:rPr>
          <w:szCs w:val="24"/>
        </w:rPr>
        <w:t xml:space="preserve">notācija) </w:t>
      </w:r>
      <w:r w:rsidRPr="00ED53AE">
        <w:rPr>
          <w:szCs w:val="24"/>
        </w:rPr>
        <w:t>un atbalsta tā tālāko virzību, vienlaikus izsakot šādu</w:t>
      </w:r>
      <w:r w:rsidR="003230A7" w:rsidRPr="00ED53AE">
        <w:rPr>
          <w:szCs w:val="24"/>
        </w:rPr>
        <w:t>s</w:t>
      </w:r>
      <w:r w:rsidRPr="00ED53AE">
        <w:rPr>
          <w:szCs w:val="24"/>
        </w:rPr>
        <w:t xml:space="preserve"> </w:t>
      </w:r>
      <w:r w:rsidR="008B5EB5" w:rsidRPr="00ED53AE">
        <w:rPr>
          <w:b/>
          <w:bCs/>
          <w:szCs w:val="24"/>
        </w:rPr>
        <w:t>iebildumus</w:t>
      </w:r>
      <w:r w:rsidR="008B5EB5" w:rsidRPr="00ED53AE">
        <w:rPr>
          <w:szCs w:val="24"/>
        </w:rPr>
        <w:t>.</w:t>
      </w:r>
    </w:p>
    <w:p w14:paraId="7E663D9A" w14:textId="584DA497" w:rsidR="006E6540" w:rsidRPr="00ED53AE" w:rsidRDefault="006E6540" w:rsidP="00CF0D55">
      <w:pPr>
        <w:ind w:firstLine="567"/>
        <w:rPr>
          <w:szCs w:val="24"/>
        </w:rPr>
      </w:pPr>
      <w:r w:rsidRPr="00ED53AE">
        <w:rPr>
          <w:szCs w:val="24"/>
        </w:rPr>
        <w:t xml:space="preserve">1.  </w:t>
      </w:r>
      <w:r w:rsidR="00493DE7" w:rsidRPr="00ED53AE">
        <w:rPr>
          <w:szCs w:val="24"/>
        </w:rPr>
        <w:t>Likumprojekta 7. pantā noteikts, ka par ieguldījumu brokeru sabiedrības akcionāriem (dalībniekiem), kuriem ir būtiska līdzdalība, var būt tikai personas, kurām ir “</w:t>
      </w:r>
      <w:r w:rsidR="00493DE7" w:rsidRPr="00ED53AE">
        <w:rPr>
          <w:i/>
          <w:iCs/>
          <w:szCs w:val="24"/>
        </w:rPr>
        <w:t>finansiālā stabilitāte</w:t>
      </w:r>
      <w:r w:rsidR="00493DE7" w:rsidRPr="00ED53AE">
        <w:rPr>
          <w:szCs w:val="24"/>
        </w:rPr>
        <w:t>” un “</w:t>
      </w:r>
      <w:r w:rsidR="00493DE7" w:rsidRPr="00ED53AE">
        <w:rPr>
          <w:i/>
          <w:iCs/>
          <w:szCs w:val="24"/>
        </w:rPr>
        <w:t>pietiekams brīvais kapitāls</w:t>
      </w:r>
      <w:r w:rsidR="00493DE7" w:rsidRPr="00ED53AE">
        <w:rPr>
          <w:szCs w:val="24"/>
        </w:rPr>
        <w:t>”, taču ne likumprojektā, ne anotācijā nav skaidrota šo jēdzienu izpratne. Lūdzam anotācijā skaidrot, kāds brīvais kapitāls tiek uzskatīts par pietiekamu, un ar ko tiek saprasta “finansiālā stabilitāte”.</w:t>
      </w:r>
    </w:p>
    <w:p w14:paraId="3FF94E8F" w14:textId="0D5700E9" w:rsidR="00493DE7" w:rsidRPr="00ED53AE" w:rsidRDefault="00493DE7" w:rsidP="00CF0D55">
      <w:pPr>
        <w:ind w:firstLine="567"/>
        <w:rPr>
          <w:szCs w:val="24"/>
        </w:rPr>
      </w:pPr>
      <w:r w:rsidRPr="00ED53AE">
        <w:rPr>
          <w:szCs w:val="24"/>
        </w:rPr>
        <w:t xml:space="preserve">2. Likumprojekta 8. panta pirmās daļas 2. punktā noteikts, ka </w:t>
      </w:r>
      <w:r w:rsidR="00385CF5" w:rsidRPr="00ED53AE">
        <w:rPr>
          <w:szCs w:val="24"/>
        </w:rPr>
        <w:t>šī panta pirmajā daļā uzskaitītajām personām ir jābūt “</w:t>
      </w:r>
      <w:r w:rsidR="00385CF5" w:rsidRPr="00ED53AE">
        <w:rPr>
          <w:i/>
          <w:iCs/>
          <w:szCs w:val="24"/>
        </w:rPr>
        <w:t>nepieciešamajai izglītībai</w:t>
      </w:r>
      <w:r w:rsidR="00385CF5" w:rsidRPr="00ED53AE">
        <w:rPr>
          <w:szCs w:val="24"/>
        </w:rPr>
        <w:t>”, savukārt šī panta otrajā daļā noteikts, ka tām pašām personām jābūt augstākajai izglītībai. Vēršam uzmanību, ka likumprojekta regulējumam jābūt vienotam, tāpēc lūdzam likumprojektā precizēt, kāda veida izglītība ir nepieciešama 8. panta pirmajā un otrajā daļā uzskaitītajām personām.</w:t>
      </w:r>
    </w:p>
    <w:p w14:paraId="5DCA9042" w14:textId="40669282" w:rsidR="0077569E" w:rsidRPr="00ED53AE" w:rsidRDefault="0029687C" w:rsidP="00CF0D55">
      <w:pPr>
        <w:ind w:firstLine="567"/>
        <w:rPr>
          <w:szCs w:val="24"/>
        </w:rPr>
      </w:pPr>
      <w:r w:rsidRPr="00ED53AE">
        <w:rPr>
          <w:szCs w:val="24"/>
        </w:rPr>
        <w:t xml:space="preserve">Vienlaikus </w:t>
      </w:r>
      <w:r w:rsidR="000824FB" w:rsidRPr="00ED53AE">
        <w:rPr>
          <w:szCs w:val="24"/>
        </w:rPr>
        <w:t xml:space="preserve">likumprojekta 8. panta </w:t>
      </w:r>
      <w:r w:rsidR="007914A0" w:rsidRPr="00ED53AE">
        <w:rPr>
          <w:szCs w:val="24"/>
        </w:rPr>
        <w:t>piektajā daļā noteikts, ka par ieguldījumu brokeru sabiedrības padomes priekšsēdētāju un padomes locekli var būt persona, kura atbilst 8.</w:t>
      </w:r>
      <w:r w:rsidR="00135E28" w:rsidRPr="00ED53AE">
        <w:rPr>
          <w:szCs w:val="24"/>
        </w:rPr>
        <w:t> </w:t>
      </w:r>
      <w:r w:rsidR="007914A0" w:rsidRPr="00ED53AE">
        <w:rPr>
          <w:szCs w:val="24"/>
        </w:rPr>
        <w:t>panta pirmās daļas 1., 2., 3. un 4. punkta prasībām, tātad arī prasībai par “nepieciešamās izglītības” esamību. Nav saprotams, kāpēc uz padomes priekšsēdētāju un tās locekļiem attiecināma prasība par “</w:t>
      </w:r>
      <w:r w:rsidR="007914A0" w:rsidRPr="00ED53AE">
        <w:rPr>
          <w:i/>
          <w:iCs/>
          <w:szCs w:val="24"/>
        </w:rPr>
        <w:t>nepieciešamo izglītību</w:t>
      </w:r>
      <w:r w:rsidR="007914A0" w:rsidRPr="00ED53AE">
        <w:rPr>
          <w:szCs w:val="24"/>
        </w:rPr>
        <w:t>”, bet nav attiecināma prasība par augstākās izglītības nepieciešamību saskaņā ar 8. panta otro daļu. Līdz ar to lūdzam skaidrot atšķirību starp “nepieciešamās izglītības” un “augstākās izglītības” tvērumu un to, kādēļ padomes locekļiem izvirzāmas atšķirīgas prasības attiecībā uz izglītību, vai arī precizēt likumprojektu, ievērojot šī atzinuma 2.</w:t>
      </w:r>
      <w:r w:rsidR="00135E28" w:rsidRPr="00ED53AE">
        <w:rPr>
          <w:szCs w:val="24"/>
        </w:rPr>
        <w:t> </w:t>
      </w:r>
      <w:r w:rsidR="007914A0" w:rsidRPr="00ED53AE">
        <w:rPr>
          <w:szCs w:val="24"/>
        </w:rPr>
        <w:t>punktā pausto iebildumu.</w:t>
      </w:r>
    </w:p>
    <w:p w14:paraId="77B0EB81" w14:textId="3E7561ED" w:rsidR="00E050A0" w:rsidRPr="00ED53AE" w:rsidRDefault="00071C40" w:rsidP="00130BCC">
      <w:pPr>
        <w:ind w:firstLine="567"/>
        <w:rPr>
          <w:szCs w:val="24"/>
        </w:rPr>
      </w:pPr>
      <w:r w:rsidRPr="00ED53AE">
        <w:rPr>
          <w:szCs w:val="24"/>
        </w:rPr>
        <w:t xml:space="preserve">3. </w:t>
      </w:r>
      <w:r w:rsidR="00E050A0" w:rsidRPr="00ED53AE">
        <w:rPr>
          <w:szCs w:val="24"/>
        </w:rPr>
        <w:t xml:space="preserve">Vēršam uzmanību </w:t>
      </w:r>
      <w:r w:rsidR="00130BCC" w:rsidRPr="00ED53AE">
        <w:rPr>
          <w:szCs w:val="24"/>
        </w:rPr>
        <w:t xml:space="preserve">uz </w:t>
      </w:r>
      <w:r w:rsidR="00E050A0" w:rsidRPr="00ED53AE">
        <w:rPr>
          <w:szCs w:val="24"/>
        </w:rPr>
        <w:t xml:space="preserve">likumprojekta 8. panta trešajā daļā </w:t>
      </w:r>
      <w:r w:rsidR="00130BCC" w:rsidRPr="00ED53AE">
        <w:rPr>
          <w:szCs w:val="24"/>
        </w:rPr>
        <w:t>paredzēto ierobežojumu personai ieņemt amatu ieguldījumu brokeru sabiedrībā, ja tā ir sodīta par tīša noziedzīga nodarījuma izdarīšanu (neatkarīgi no sodāmības dzēšanas vai noņemšanas) un ja tā par tīša noziedzīga nodarījuma izdarīšanu ir tikusi notiesāta, atbrīvojot no soda vai pret kuru kriminālprocess izbeigts uz nereabilitējoša pamata.</w:t>
      </w:r>
      <w:r w:rsidR="00A91371" w:rsidRPr="00ED53AE">
        <w:rPr>
          <w:szCs w:val="24"/>
        </w:rPr>
        <w:t xml:space="preserve"> Norādām, ka </w:t>
      </w:r>
      <w:r w:rsidR="00B47887" w:rsidRPr="00ED53AE">
        <w:rPr>
          <w:szCs w:val="24"/>
        </w:rPr>
        <w:t>ierobežojums, kas noteic aizliegumu ieņemt noteiktus amatus neierobežotu laiku arī pēc sodāmības dzēšanas vai noņemšanas ir uzskatāms par absolūtu,</w:t>
      </w:r>
      <w:r w:rsidR="00B47887" w:rsidRPr="00ED53AE">
        <w:rPr>
          <w:rStyle w:val="FootnoteReference"/>
          <w:szCs w:val="24"/>
        </w:rPr>
        <w:footnoteReference w:id="1"/>
      </w:r>
      <w:r w:rsidR="00B47887" w:rsidRPr="00ED53AE">
        <w:rPr>
          <w:szCs w:val="24"/>
        </w:rPr>
        <w:t xml:space="preserve"> </w:t>
      </w:r>
      <w:r w:rsidR="00B47887" w:rsidRPr="00ED53AE">
        <w:rPr>
          <w:szCs w:val="24"/>
        </w:rPr>
        <w:lastRenderedPageBreak/>
        <w:t>un tam nepieciešams analīzē balstīts izvērtējums, kas pamatotu konkrētā aizlieguma nepieciešamību un samērīgumu iepretim izdarītajam noziedzīgajam nodarījumam un tā rezultātā radītajām sekām</w:t>
      </w:r>
      <w:r w:rsidR="00870B64" w:rsidRPr="00ED53AE">
        <w:rPr>
          <w:szCs w:val="24"/>
        </w:rPr>
        <w:t>. Turklāt norādām, ka likumdevējs ir tiesīgs noteikt absolūto aizliegumu tikai tad, ja tas ir izvērtējis, vai absolūtais aizliegums ir vienīgais līdzeklis, kā sasniegt tā mērķi</w:t>
      </w:r>
      <w:r w:rsidR="00A54642" w:rsidRPr="00ED53AE">
        <w:rPr>
          <w:szCs w:val="24"/>
        </w:rPr>
        <w:t>, pretējā gadījumā norma var tikt atzīta par neatbilstošu Satversmes 106.</w:t>
      </w:r>
      <w:r w:rsidR="006E2973" w:rsidRPr="00ED53AE">
        <w:rPr>
          <w:szCs w:val="24"/>
        </w:rPr>
        <w:t> </w:t>
      </w:r>
      <w:r w:rsidR="00A54642" w:rsidRPr="00ED53AE">
        <w:rPr>
          <w:szCs w:val="24"/>
        </w:rPr>
        <w:t>panta pirmajam teikumam</w:t>
      </w:r>
      <w:r w:rsidR="00B47887" w:rsidRPr="00ED53AE">
        <w:rPr>
          <w:szCs w:val="24"/>
        </w:rPr>
        <w:t>.</w:t>
      </w:r>
      <w:r w:rsidR="00870B64" w:rsidRPr="00ED53AE">
        <w:rPr>
          <w:rStyle w:val="FootnoteReference"/>
          <w:szCs w:val="24"/>
        </w:rPr>
        <w:footnoteReference w:id="2"/>
      </w:r>
    </w:p>
    <w:p w14:paraId="3707540A" w14:textId="45B664FF" w:rsidR="005A4DF5" w:rsidRPr="00ED53AE" w:rsidRDefault="00AA35A5" w:rsidP="005A4DF5">
      <w:pPr>
        <w:tabs>
          <w:tab w:val="left" w:pos="5245"/>
        </w:tabs>
        <w:ind w:firstLine="567"/>
        <w:rPr>
          <w:szCs w:val="24"/>
        </w:rPr>
      </w:pPr>
      <w:r w:rsidRPr="00ED53AE">
        <w:rPr>
          <w:szCs w:val="24"/>
        </w:rPr>
        <w:t>Ņemot vērā minēto, l</w:t>
      </w:r>
      <w:r w:rsidR="005A4DF5" w:rsidRPr="00ED53AE">
        <w:rPr>
          <w:szCs w:val="24"/>
        </w:rPr>
        <w:t xml:space="preserve">ūdzam precizēt likumprojekta 8. panta trešo daļu, izsakot to šādā vai līdzīgā redakcijā: “(3) Par ieguldījumu brokeru sabiedrības valdes priekšsēdētāju, valdes locekli, iekšējā audita dienesta vadītāju, risku direktoru, par darbības atbilstības kontroli atbildīgo personu, par noziedzīgi iegūtu līdzekļu legalizācijas un terorisma finansēšanas novēršanas prasību izpildi atbildīgo personu, ārvalsts ieguldījumu brokeru sabiedrības filiāles vai ieguldījumu brokeru sabiedrības filiāles citā dalībvalstī vadītāju nevar būt persona, kura: </w:t>
      </w:r>
    </w:p>
    <w:p w14:paraId="2F2FC9B1" w14:textId="77777777" w:rsidR="005A4DF5" w:rsidRPr="00ED53AE" w:rsidRDefault="005A4DF5" w:rsidP="005A4DF5">
      <w:pPr>
        <w:tabs>
          <w:tab w:val="left" w:pos="5245"/>
        </w:tabs>
        <w:ind w:firstLine="567"/>
        <w:rPr>
          <w:szCs w:val="24"/>
        </w:rPr>
      </w:pPr>
      <w:r w:rsidRPr="00ED53AE">
        <w:rPr>
          <w:szCs w:val="24"/>
        </w:rPr>
        <w:t xml:space="preserve">1) ir sodīta par tīša noziedzīga nodarījuma izdarīšanu; </w:t>
      </w:r>
    </w:p>
    <w:p w14:paraId="02E40787" w14:textId="4C1C4A83" w:rsidR="005A4DF5" w:rsidRPr="00ED53AE" w:rsidRDefault="005A4DF5" w:rsidP="005A4DF5">
      <w:pPr>
        <w:tabs>
          <w:tab w:val="left" w:pos="5245"/>
        </w:tabs>
        <w:ind w:firstLine="567"/>
        <w:rPr>
          <w:szCs w:val="24"/>
        </w:rPr>
      </w:pPr>
      <w:r w:rsidRPr="00ED53AE">
        <w:rPr>
          <w:szCs w:val="24"/>
        </w:rPr>
        <w:t>2) par tīša noziedzīga nodarījuma izdarīšanu notiesāta, atbrīvojot no soda vai pret kuru kriminālprocess izbeigts uz nereabilitējoša pamata — kamēr nav pagājis gads pēc attiecīgā lēmuma stāšanās spēkā.”</w:t>
      </w:r>
    </w:p>
    <w:p w14:paraId="74634F1D" w14:textId="2C74E6A7" w:rsidR="00C94BB6" w:rsidRPr="00ED53AE" w:rsidRDefault="00C94BB6" w:rsidP="00F9474D">
      <w:pPr>
        <w:tabs>
          <w:tab w:val="left" w:pos="5245"/>
        </w:tabs>
        <w:ind w:firstLine="567"/>
        <w:rPr>
          <w:szCs w:val="24"/>
        </w:rPr>
      </w:pPr>
      <w:r w:rsidRPr="00ED53AE">
        <w:rPr>
          <w:szCs w:val="24"/>
        </w:rPr>
        <w:t>Tomēr gadījumā, ja likumprojektā ir plānots saglabāt absolūto aizliegumu ieņemt amatu, tad saskaņā ar Satversmes tiesas judikatūru</w:t>
      </w:r>
      <w:r w:rsidR="00732C5A" w:rsidRPr="00ED53AE">
        <w:rPr>
          <w:rStyle w:val="FootnoteReference"/>
          <w:szCs w:val="24"/>
        </w:rPr>
        <w:footnoteReference w:id="3"/>
      </w:r>
      <w:r w:rsidRPr="00ED53AE">
        <w:rPr>
          <w:szCs w:val="24"/>
        </w:rPr>
        <w:t xml:space="preserve"> nepieciešams izstrādāt regulējumu, kas paredz izvērtēšanas komisijas veidošanu, kura būtu tiesīga izvērtēt tāda kandidāta, kurš</w:t>
      </w:r>
      <w:r w:rsidR="00130BCC" w:rsidRPr="00ED53AE">
        <w:rPr>
          <w:szCs w:val="24"/>
        </w:rPr>
        <w:t xml:space="preserve"> kādreiz ir bijis sodīts par tīša noziedzīga nodarījuma izdarīšanu, atbilstību darbam ieguldījumu brokeru sabiedrībā</w:t>
      </w:r>
      <w:r w:rsidR="00F75C05" w:rsidRPr="00ED53AE">
        <w:rPr>
          <w:szCs w:val="24"/>
        </w:rPr>
        <w:t>, ļaujot tam izņēmuma kārtā ieņemt amatu pie šāda absolūta aizlieguma pastāvēšanas.</w:t>
      </w:r>
      <w:r w:rsidR="00F75C05" w:rsidRPr="00ED53AE">
        <w:rPr>
          <w:rStyle w:val="FootnoteReference"/>
          <w:szCs w:val="24"/>
        </w:rPr>
        <w:footnoteReference w:id="4"/>
      </w:r>
      <w:r w:rsidR="00130BCC" w:rsidRPr="00ED53AE">
        <w:rPr>
          <w:szCs w:val="24"/>
        </w:rPr>
        <w:t xml:space="preserve"> Šāda kārtība ļautu izdarīt pamatotu vērtējumu tam, vai ļaut vai neļaut konkrētai personai kandidēt uz amatu ieguldījumu brokeru sabiedrībā, kā arī ļautu pamattiesību ierobežojuma leģitīmo mērķi sasniegt vismaz tādā pašā kvalitātē.</w:t>
      </w:r>
    </w:p>
    <w:p w14:paraId="11482BAB" w14:textId="27B064C5" w:rsidR="00AA35A5" w:rsidRPr="00ED53AE" w:rsidRDefault="00E050A0" w:rsidP="00CF0D55">
      <w:pPr>
        <w:ind w:firstLine="567"/>
        <w:rPr>
          <w:szCs w:val="24"/>
        </w:rPr>
      </w:pPr>
      <w:r w:rsidRPr="00ED53AE">
        <w:rPr>
          <w:szCs w:val="24"/>
        </w:rPr>
        <w:t xml:space="preserve">4. </w:t>
      </w:r>
      <w:r w:rsidR="00AA35A5" w:rsidRPr="00ED53AE">
        <w:rPr>
          <w:szCs w:val="24"/>
        </w:rPr>
        <w:t>Likumprojekta 8. panta</w:t>
      </w:r>
      <w:r w:rsidR="00F82B7F" w:rsidRPr="00ED53AE">
        <w:rPr>
          <w:szCs w:val="24"/>
        </w:rPr>
        <w:t xml:space="preserve"> ceturtā daļa paredz ieguldījumu brokeru sabiedrības padomes pienākumu atsaukt šī panta pirmajā daļā minētās personas, tostarp valdes locekļus, savukārt šī</w:t>
      </w:r>
      <w:r w:rsidR="00AA35A5" w:rsidRPr="00ED53AE">
        <w:rPr>
          <w:szCs w:val="24"/>
        </w:rPr>
        <w:t xml:space="preserve"> </w:t>
      </w:r>
      <w:r w:rsidR="00F82B7F" w:rsidRPr="00ED53AE">
        <w:rPr>
          <w:szCs w:val="24"/>
        </w:rPr>
        <w:t xml:space="preserve">panta </w:t>
      </w:r>
      <w:r w:rsidR="00AA35A5" w:rsidRPr="00ED53AE">
        <w:rPr>
          <w:szCs w:val="24"/>
        </w:rPr>
        <w:t>sestā daļa paredz</w:t>
      </w:r>
      <w:r w:rsidR="00F82B7F" w:rsidRPr="00ED53AE">
        <w:rPr>
          <w:szCs w:val="24"/>
        </w:rPr>
        <w:t xml:space="preserve"> dalībnieku sapulces pienākumu atsaukt padomes locekļus, ja tie neatbilst konkrētām prasībām. Norādām, ka sabiedrībās ar ierobežotu atbildību dalībnieku sapulces kompetencē ietilpst arī valdes locekļu atsaukšana, savukārt padomes izveidošana saskaņā ar Komerclikumu nav obligāta</w:t>
      </w:r>
      <w:r w:rsidR="00AF553E" w:rsidRPr="00ED53AE">
        <w:rPr>
          <w:szCs w:val="24"/>
        </w:rPr>
        <w:t xml:space="preserve">. </w:t>
      </w:r>
      <w:r w:rsidR="00662C83" w:rsidRPr="00ED53AE">
        <w:rPr>
          <w:szCs w:val="24"/>
        </w:rPr>
        <w:t xml:space="preserve">Tāpat norādām, ka pantā paredzēts pienākums atsaukt minētās personas no to amatiem, taču nav norādītas sekas tam, ja šo personu atsaukšana netiek īstenota. </w:t>
      </w:r>
      <w:r w:rsidR="00AF553E" w:rsidRPr="00ED53AE">
        <w:rPr>
          <w:szCs w:val="24"/>
        </w:rPr>
        <w:t>Tādēļ lūdzam precizēt likumprojekta 8.</w:t>
      </w:r>
      <w:r w:rsidR="006E2973" w:rsidRPr="00ED53AE">
        <w:rPr>
          <w:szCs w:val="24"/>
        </w:rPr>
        <w:t> </w:t>
      </w:r>
      <w:r w:rsidR="00AF553E" w:rsidRPr="00ED53AE">
        <w:rPr>
          <w:szCs w:val="24"/>
        </w:rPr>
        <w:t xml:space="preserve">pantu, </w:t>
      </w:r>
      <w:r w:rsidR="00662C83" w:rsidRPr="00ED53AE">
        <w:rPr>
          <w:szCs w:val="24"/>
        </w:rPr>
        <w:t xml:space="preserve">nosakot </w:t>
      </w:r>
      <w:r w:rsidR="00AF553E" w:rsidRPr="00ED53AE">
        <w:rPr>
          <w:szCs w:val="24"/>
        </w:rPr>
        <w:t xml:space="preserve">dalībnieku sapulces tiesības atsaukt valdes locekļus, un </w:t>
      </w:r>
      <w:r w:rsidR="00662C83" w:rsidRPr="00ED53AE">
        <w:rPr>
          <w:szCs w:val="24"/>
        </w:rPr>
        <w:t xml:space="preserve">paredzot sekas, kādas rodas, ja padomes un valdes locekļi, kas neatbilst pantā noteiktajām prasībām, netiek atsaukti. </w:t>
      </w:r>
    </w:p>
    <w:p w14:paraId="289F1A2D" w14:textId="2D9943C9" w:rsidR="00987491" w:rsidRPr="00ED53AE" w:rsidRDefault="00987491" w:rsidP="00CF0D55">
      <w:pPr>
        <w:ind w:firstLine="567"/>
        <w:rPr>
          <w:szCs w:val="24"/>
        </w:rPr>
      </w:pPr>
      <w:r w:rsidRPr="00ED53AE">
        <w:rPr>
          <w:szCs w:val="24"/>
        </w:rPr>
        <w:t xml:space="preserve">5. Likumprojekta 8. panta septītā daļa paredz pienākumu informēt Komisiju par ieguldījumu brokeru sabiedrības akcionāru un dalībnieku identitāti un fiziskām vai juridiskām personām, kurām ir būtiska līdzdalība sabiedrībā. Norādām, ka </w:t>
      </w:r>
      <w:r w:rsidR="00AD61B0" w:rsidRPr="00ED53AE">
        <w:rPr>
          <w:szCs w:val="24"/>
        </w:rPr>
        <w:t xml:space="preserve">Tieslietu ministrijas ieskatā Komisijai būtu nepieciešams vērtēt ne tikai akcionārus un dalībniekus, bet arī patiesā labuma guvējus. </w:t>
      </w:r>
      <w:r w:rsidR="00EF3256" w:rsidRPr="00ED53AE">
        <w:rPr>
          <w:szCs w:val="24"/>
        </w:rPr>
        <w:t xml:space="preserve">Ņemot vērā minēto aicinām precizēt likumprojekta 8. panta septīto daļu un vienlaikus izvērtēt, vai tajā ir nepieciešams saglabāt regulējumu arī par citām </w:t>
      </w:r>
      <w:r w:rsidR="00AD61B0" w:rsidRPr="00ED53AE">
        <w:rPr>
          <w:szCs w:val="24"/>
        </w:rPr>
        <w:t xml:space="preserve"> fiziskā</w:t>
      </w:r>
      <w:r w:rsidR="00EF3256" w:rsidRPr="00ED53AE">
        <w:rPr>
          <w:szCs w:val="24"/>
        </w:rPr>
        <w:t>m</w:t>
      </w:r>
      <w:r w:rsidR="00AD61B0" w:rsidRPr="00ED53AE">
        <w:rPr>
          <w:szCs w:val="24"/>
        </w:rPr>
        <w:t xml:space="preserve"> un juridiskā</w:t>
      </w:r>
      <w:r w:rsidR="00EF3256" w:rsidRPr="00ED53AE">
        <w:rPr>
          <w:szCs w:val="24"/>
        </w:rPr>
        <w:t>m</w:t>
      </w:r>
      <w:r w:rsidR="00AD61B0" w:rsidRPr="00ED53AE">
        <w:rPr>
          <w:szCs w:val="24"/>
        </w:rPr>
        <w:t xml:space="preserve"> person</w:t>
      </w:r>
      <w:r w:rsidR="00EF3256" w:rsidRPr="00ED53AE">
        <w:rPr>
          <w:szCs w:val="24"/>
        </w:rPr>
        <w:t>ām</w:t>
      </w:r>
      <w:r w:rsidR="00AD61B0" w:rsidRPr="00ED53AE">
        <w:rPr>
          <w:szCs w:val="24"/>
        </w:rPr>
        <w:t xml:space="preserve">, </w:t>
      </w:r>
      <w:r w:rsidR="00EF3256" w:rsidRPr="00ED53AE">
        <w:rPr>
          <w:szCs w:val="24"/>
        </w:rPr>
        <w:t>kurām ir būtiska līdzdalība sabiedrībā</w:t>
      </w:r>
      <w:r w:rsidR="00AD61B0" w:rsidRPr="00ED53AE">
        <w:rPr>
          <w:szCs w:val="24"/>
        </w:rPr>
        <w:t xml:space="preserve">. </w:t>
      </w:r>
    </w:p>
    <w:p w14:paraId="6EA134A3" w14:textId="5E0DAEC1" w:rsidR="00071C40" w:rsidRPr="00ED53AE" w:rsidRDefault="00D32AD8" w:rsidP="00CF0D55">
      <w:pPr>
        <w:ind w:firstLine="567"/>
        <w:rPr>
          <w:szCs w:val="24"/>
        </w:rPr>
      </w:pPr>
      <w:r w:rsidRPr="00ED53AE">
        <w:rPr>
          <w:szCs w:val="24"/>
        </w:rPr>
        <w:t>6</w:t>
      </w:r>
      <w:r w:rsidR="00AA35A5" w:rsidRPr="00ED53AE">
        <w:rPr>
          <w:szCs w:val="24"/>
        </w:rPr>
        <w:t xml:space="preserve">. </w:t>
      </w:r>
      <w:r w:rsidR="00071C40" w:rsidRPr="00ED53AE">
        <w:rPr>
          <w:szCs w:val="24"/>
        </w:rPr>
        <w:t xml:space="preserve">Norādām, ka likumprojekta 9. panta gramatiskais noformējums </w:t>
      </w:r>
      <w:r w:rsidR="00D07D49" w:rsidRPr="00ED53AE">
        <w:rPr>
          <w:szCs w:val="24"/>
        </w:rPr>
        <w:t xml:space="preserve">ir grūti uztverams un </w:t>
      </w:r>
      <w:r w:rsidR="00071C40" w:rsidRPr="00ED53AE">
        <w:rPr>
          <w:szCs w:val="24"/>
        </w:rPr>
        <w:t>var radīt maldīgu priekšstatu par to, ka vienā ieguldījumu brokeru sabiedrībā viena persona var ieņemt vairākas valdes un padomes locekļu amata vietas. Līdz ar to aicinām precizēt likumprojekta 9.</w:t>
      </w:r>
      <w:r w:rsidR="00357B43" w:rsidRPr="00ED53AE">
        <w:rPr>
          <w:szCs w:val="24"/>
        </w:rPr>
        <w:t> </w:t>
      </w:r>
      <w:r w:rsidR="00071C40" w:rsidRPr="00ED53AE">
        <w:rPr>
          <w:szCs w:val="24"/>
        </w:rPr>
        <w:t>pantu, iekļaujot tajā norādi uz to, ka valdes un padomes locekļ</w:t>
      </w:r>
      <w:r w:rsidR="00D07D49" w:rsidRPr="00ED53AE">
        <w:rPr>
          <w:szCs w:val="24"/>
        </w:rPr>
        <w:t>iem ir atļauts ieņemt valdes un padomes locekļa amatu citā komercsabiedrībā, kā arī precizēt, vai ar</w:t>
      </w:r>
      <w:r w:rsidR="00071C40" w:rsidRPr="00ED53AE">
        <w:rPr>
          <w:szCs w:val="24"/>
        </w:rPr>
        <w:t xml:space="preserve"> </w:t>
      </w:r>
      <w:r w:rsidR="00D07D49" w:rsidRPr="00ED53AE">
        <w:rPr>
          <w:szCs w:val="24"/>
        </w:rPr>
        <w:t xml:space="preserve">citu </w:t>
      </w:r>
      <w:r w:rsidRPr="00ED53AE">
        <w:rPr>
          <w:szCs w:val="24"/>
        </w:rPr>
        <w:t>komercsabiedrī</w:t>
      </w:r>
      <w:r w:rsidR="00D07D49" w:rsidRPr="00ED53AE">
        <w:rPr>
          <w:szCs w:val="24"/>
        </w:rPr>
        <w:t xml:space="preserve">bu ir domāta jebkura cita komercsabiedrība, vai arī tikai noteiktas jomas komercsabiedrība (skatīt, </w:t>
      </w:r>
      <w:r w:rsidR="00D07D49" w:rsidRPr="00ED53AE">
        <w:rPr>
          <w:szCs w:val="24"/>
        </w:rPr>
        <w:lastRenderedPageBreak/>
        <w:t xml:space="preserve">piemēram, Komerclikuma 171. panta redakciju). </w:t>
      </w:r>
    </w:p>
    <w:p w14:paraId="64D8C929" w14:textId="758966B2" w:rsidR="00135E28" w:rsidRPr="00ED53AE" w:rsidRDefault="00252728" w:rsidP="00CF0D55">
      <w:pPr>
        <w:ind w:firstLine="567"/>
        <w:rPr>
          <w:szCs w:val="24"/>
        </w:rPr>
      </w:pPr>
      <w:r w:rsidRPr="00ED53AE">
        <w:rPr>
          <w:szCs w:val="24"/>
        </w:rPr>
        <w:t>7</w:t>
      </w:r>
      <w:r w:rsidR="00135E28" w:rsidRPr="00ED53AE">
        <w:rPr>
          <w:szCs w:val="24"/>
        </w:rPr>
        <w:t>. Likumprojekta 10. panta ceturtā daļa, kas paredz Finanšu un kapitāla tirgus komisijas (turpmāk – Komisija) tiesības pieprasīt, lai ieguldījumu brokeru sabiedrība precizē iesniegtos dokumentus un informāciju, dublē Administratīvā procesa likuma 59. pantā nostiprinātās iestādes tiesības iegūt informāciju no administratīvā procesa dalībniekiem. Ievērojot minēto, atbilstoši Ministru kabineta 2009. gada 3. februāra noteikumu Nr. 108 "Normatīvo aktu projektu sagatavošanas noteikumi" (turpmāk – noteikumi Nr. 108) 3.2. apakšpunktam lūdzam izslēgt likumprojekta 12. panta ceturto daļu.</w:t>
      </w:r>
    </w:p>
    <w:p w14:paraId="360A2A1F" w14:textId="20E320B3" w:rsidR="00135E28" w:rsidRPr="00ED53AE" w:rsidRDefault="00252728" w:rsidP="00F9474D">
      <w:pPr>
        <w:ind w:firstLine="567"/>
        <w:rPr>
          <w:szCs w:val="24"/>
        </w:rPr>
      </w:pPr>
      <w:r w:rsidRPr="00ED53AE">
        <w:rPr>
          <w:szCs w:val="24"/>
        </w:rPr>
        <w:t xml:space="preserve">8. </w:t>
      </w:r>
      <w:r w:rsidR="00135E28" w:rsidRPr="00ED53AE">
        <w:rPr>
          <w:szCs w:val="24"/>
        </w:rPr>
        <w:t xml:space="preserve">Administratīvā procesa likuma 64. panta pirmā daļa paredz, ka, ja administratīvā lieta ierosināta uz iesnieguma pamata, iestāde pieņem lēmumu par administratīvā akta izdošanu viena mēneša laikā no iesnieguma saņemšanas dienas, ja likumā nav noteikts cits termiņš vai citā normatīvajā aktā – īsāks termiņš administratīvā akta izdošanai. No minētā izriet, ka likumprojektā var tikt noteikts no Administratīvā procesa likuma 64. panta pirmajā daļā paredzētā viena mēneša termiņa atšķirīgs administratīvā akta izdošanas termiņš. Vienlaikus šāda atšķirīga termiņa noteikšanas nepieciešamība ir jāskaidro anotācijā. Papildus norādām, ka lēmuma pieņemšanas termiņa skaitīšana no brīža, kad persona iesniegusi visus dokumentus, var nesamērīgi pagarināt termiņu, kādā tiks pieņemts lēmums. Proti, formāli lēmuma pieņemšanai noteikts sešu mēnešu termiņš, taču faktiski nav zināms, cik garš tas būs, ja persona, iesniedzot iesniegumu, nebūs iesniegusi visus lēmuma pieņemšanai nepieciešamos dokumentus. </w:t>
      </w:r>
    </w:p>
    <w:p w14:paraId="3EFEC1DA" w14:textId="43B2ED20" w:rsidR="00135E28" w:rsidRPr="00ED53AE" w:rsidRDefault="00135E28" w:rsidP="00CF0D55">
      <w:pPr>
        <w:pStyle w:val="NormalWeb"/>
        <w:spacing w:before="0" w:after="0"/>
        <w:ind w:right="13" w:firstLine="567"/>
        <w:jc w:val="both"/>
      </w:pPr>
      <w:r w:rsidRPr="00ED53AE">
        <w:t>Ievērojot minēto, lūdzam izvērtēt šāda regulējuma samērīgumu, atbilstoši precizēt likumprojektā ietvertās normas, kā arī papildināt anotāciju ar attiecīgu skaidrojumu gan likumprojekta 12. panta pirmajai daļai, gan arī pārējām likumprojektā ietvertajā normām, kas noteic garāku termiņu administratīvā akta izdošanai vai paredz termiņu skaitīt no brīža, kad iesniegti visi dokumenti, tostarp likumprojekta 14. panta trešajai daļai, 18. panta septītajai un astotajai daļai, 20. panta ceturtajai daļai, 27. panta pirmajai daļai, likumprojekta 49. panta trešajai daļai, kā arī 65. panta piektajai daļai.</w:t>
      </w:r>
    </w:p>
    <w:p w14:paraId="1D218E0C" w14:textId="446A2A40" w:rsidR="00CF0D55" w:rsidRPr="00ED53AE" w:rsidRDefault="00457604" w:rsidP="00CF0D55">
      <w:pPr>
        <w:pStyle w:val="NoSpacing"/>
        <w:ind w:firstLine="567"/>
        <w:rPr>
          <w:szCs w:val="24"/>
        </w:rPr>
      </w:pPr>
      <w:r w:rsidRPr="00ED53AE">
        <w:rPr>
          <w:szCs w:val="24"/>
        </w:rPr>
        <w:t>9</w:t>
      </w:r>
      <w:r w:rsidR="00D965EC" w:rsidRPr="00ED53AE">
        <w:rPr>
          <w:szCs w:val="24"/>
        </w:rPr>
        <w:t>. Ar grozījumiem Noziedzīgi iegūtu līdzekļu legalizācijas un terorisma un proliferācijas finansēšanas novēršanas likumā, kas stājās spēkā 2019. gada 29. jūnijā, no minētā likuma izslēgts neparasta darījuma jēdziens, tāpēc lūdzam neparastus darījumus izslēgt no likumprojekta 12. panta otrās daļas 6. punkta.</w:t>
      </w:r>
    </w:p>
    <w:p w14:paraId="28C079C4" w14:textId="37E3AE12" w:rsidR="0029687C" w:rsidRPr="00ED53AE" w:rsidRDefault="00457604" w:rsidP="0029687C">
      <w:pPr>
        <w:pStyle w:val="NoSpacing"/>
        <w:ind w:firstLine="567"/>
        <w:rPr>
          <w:szCs w:val="24"/>
        </w:rPr>
      </w:pPr>
      <w:r w:rsidRPr="00ED53AE">
        <w:rPr>
          <w:szCs w:val="24"/>
        </w:rPr>
        <w:t>10</w:t>
      </w:r>
      <w:r w:rsidR="007A5462" w:rsidRPr="00ED53AE">
        <w:rPr>
          <w:szCs w:val="24"/>
        </w:rPr>
        <w:t xml:space="preserve">. </w:t>
      </w:r>
      <w:r w:rsidR="0029687C" w:rsidRPr="00ED53AE">
        <w:rPr>
          <w:szCs w:val="24"/>
        </w:rPr>
        <w:t>Likumprojekta 13. panta otrā daļa noteic, ka ieguldījumu brokeru sabiedrība paziņo Komisijai par visām būtiskajām izmaiņām, kas saistītas ar tai izsniegtajā licencē noteikto ieguldījumu pakalpojumu un ieguldījumu blakuspakalpojumu sniegšanu. Lūdzam anotācijā skaidrot, kuras izmaiņas būs atzīstamas par būtiskām.</w:t>
      </w:r>
    </w:p>
    <w:p w14:paraId="1253C983" w14:textId="3499B3B1" w:rsidR="0029687C" w:rsidRPr="00ED53AE" w:rsidRDefault="00457604" w:rsidP="000364D9">
      <w:pPr>
        <w:pStyle w:val="NoSpacing"/>
        <w:ind w:firstLine="567"/>
        <w:rPr>
          <w:szCs w:val="24"/>
        </w:rPr>
      </w:pPr>
      <w:r w:rsidRPr="00ED53AE">
        <w:rPr>
          <w:szCs w:val="24"/>
        </w:rPr>
        <w:t>11</w:t>
      </w:r>
      <w:r w:rsidR="0029687C" w:rsidRPr="00ED53AE">
        <w:rPr>
          <w:szCs w:val="24"/>
        </w:rPr>
        <w:t xml:space="preserve">. Likumprojekta 14. panta trešajā daļā ietverts trīsdesmit dienu termiņš, vienlaikus likumprojekta 17. panta otrās daļas 2. punktā un septītajā daļā ietverts viena mēneša termiņš. Vēršam uzmanību, ka vienā likumā vajadzētu pieturēties pie viena no variantiem, ja vien šādai atšķirībai nav īpaša pamatojuma. Ievērojot minēto, lūdzam atbilstoši precizēt likumprojektu. </w:t>
      </w:r>
    </w:p>
    <w:p w14:paraId="33665053" w14:textId="77777777" w:rsidR="0029687C" w:rsidRPr="00ED53AE" w:rsidRDefault="0029687C" w:rsidP="000364D9">
      <w:pPr>
        <w:pStyle w:val="NoSpacing"/>
        <w:ind w:firstLine="567"/>
        <w:rPr>
          <w:szCs w:val="24"/>
        </w:rPr>
      </w:pPr>
      <w:r w:rsidRPr="00ED53AE">
        <w:rPr>
          <w:szCs w:val="24"/>
        </w:rPr>
        <w:t>Vienlaikus vēršam uzmanību, ka likumā nav noteikts, ka par licenci jāmaksā valsts nodeva, tāpēc nav saprotams, kāpēc likumprojekta 14. panta ceturtajā daļā īpaši atrunāts, ka valsts nodeva par licencē norādīto ieguldījumu pakalpojumu un ieguldījumu blakuspakalpojumu maiņu nav jāmaksā. Lūdzam sniegt skaidrojumu anotācijā vai precizēt likumprojektu.</w:t>
      </w:r>
    </w:p>
    <w:p w14:paraId="47CCBBAF" w14:textId="078F6E43" w:rsidR="00457604" w:rsidRPr="00ED53AE" w:rsidRDefault="00457604" w:rsidP="000364D9">
      <w:pPr>
        <w:pStyle w:val="NoSpacing"/>
        <w:ind w:firstLine="567"/>
        <w:rPr>
          <w:szCs w:val="24"/>
        </w:rPr>
      </w:pPr>
      <w:r w:rsidRPr="00ED53AE">
        <w:rPr>
          <w:szCs w:val="24"/>
        </w:rPr>
        <w:t>12</w:t>
      </w:r>
      <w:r w:rsidR="00493E71" w:rsidRPr="00ED53AE">
        <w:rPr>
          <w:szCs w:val="24"/>
        </w:rPr>
        <w:t>.</w:t>
      </w:r>
      <w:r w:rsidRPr="00ED53AE">
        <w:rPr>
          <w:szCs w:val="24"/>
        </w:rPr>
        <w:t xml:space="preserve"> Likumprojekta 16. panta pirmās daļas 10. punktā</w:t>
      </w:r>
      <w:r w:rsidR="00943AE7" w:rsidRPr="00ED53AE">
        <w:rPr>
          <w:szCs w:val="24"/>
        </w:rPr>
        <w:t xml:space="preserve"> noteikts, ka licence tiek anulēta, ja </w:t>
      </w:r>
      <w:r w:rsidRPr="00ED53AE">
        <w:rPr>
          <w:szCs w:val="24"/>
        </w:rPr>
        <w:t>akcionār</w:t>
      </w:r>
      <w:r w:rsidR="00943AE7" w:rsidRPr="00ED53AE">
        <w:rPr>
          <w:szCs w:val="24"/>
        </w:rPr>
        <w:t>iem</w:t>
      </w:r>
      <w:r w:rsidRPr="00ED53AE">
        <w:rPr>
          <w:szCs w:val="24"/>
        </w:rPr>
        <w:t xml:space="preserve"> un dalībniek</w:t>
      </w:r>
      <w:r w:rsidR="00943AE7" w:rsidRPr="00ED53AE">
        <w:rPr>
          <w:szCs w:val="24"/>
        </w:rPr>
        <w:t>iem noteikts</w:t>
      </w:r>
      <w:r w:rsidRPr="00ED53AE">
        <w:rPr>
          <w:szCs w:val="24"/>
        </w:rPr>
        <w:t xml:space="preserve"> balsstiesību izmantošanas ierobežojums. Norādām, ka </w:t>
      </w:r>
      <w:r w:rsidR="00943AE7" w:rsidRPr="00ED53AE">
        <w:rPr>
          <w:szCs w:val="24"/>
        </w:rPr>
        <w:t xml:space="preserve">nav atbalstāms regulējums, kurš paredz, ka </w:t>
      </w:r>
      <w:r w:rsidR="000512F7" w:rsidRPr="00ED53AE">
        <w:rPr>
          <w:szCs w:val="24"/>
        </w:rPr>
        <w:t xml:space="preserve">ikviens </w:t>
      </w:r>
      <w:r w:rsidR="00943AE7" w:rsidRPr="00ED53AE">
        <w:rPr>
          <w:szCs w:val="24"/>
        </w:rPr>
        <w:t xml:space="preserve">akcionāra un dalībnieka balsstiesību ierobežojums negatīvi ietekmē ieguldījumu brokeru sabiedrības darbību. </w:t>
      </w:r>
      <w:r w:rsidR="009A7043" w:rsidRPr="00ED53AE">
        <w:rPr>
          <w:szCs w:val="24"/>
        </w:rPr>
        <w:t>Akcionārs</w:t>
      </w:r>
      <w:r w:rsidR="00943AE7" w:rsidRPr="00ED53AE">
        <w:rPr>
          <w:szCs w:val="24"/>
        </w:rPr>
        <w:t xml:space="preserve"> (</w:t>
      </w:r>
      <w:r w:rsidR="009A7043" w:rsidRPr="00ED53AE">
        <w:rPr>
          <w:szCs w:val="24"/>
        </w:rPr>
        <w:t>dalībnieks</w:t>
      </w:r>
      <w:r w:rsidR="00943AE7" w:rsidRPr="00ED53AE">
        <w:rPr>
          <w:szCs w:val="24"/>
        </w:rPr>
        <w:t>) un kapitālsabiedrība ir divi dažādi subjekti, un viena subjekta tiesību ierobežojums nedrīkst pakļaut riskam kapitālsabiedrības darbību. Šāda ierobežojuma ietekme uz kapitālsabiedrību būtu pieļaujama tikai gadījumos, kad akcionāra</w:t>
      </w:r>
      <w:r w:rsidR="009A7043" w:rsidRPr="00ED53AE">
        <w:rPr>
          <w:szCs w:val="24"/>
        </w:rPr>
        <w:t xml:space="preserve"> (dalībnieka)</w:t>
      </w:r>
      <w:r w:rsidR="00943AE7" w:rsidRPr="00ED53AE">
        <w:rPr>
          <w:szCs w:val="24"/>
        </w:rPr>
        <w:t xml:space="preserve"> balsstiesības ir ierobežotas saistībā ar ieguldījumu brokeru sabiedrības darbību, bet, ja, piemēram, balsstiesību ierobežojuma pamatā ir civiltiesisks strīds starp akcionāriem</w:t>
      </w:r>
      <w:r w:rsidR="000512F7" w:rsidRPr="00ED53AE">
        <w:rPr>
          <w:szCs w:val="24"/>
        </w:rPr>
        <w:t xml:space="preserve"> (dalībniekiem)</w:t>
      </w:r>
      <w:r w:rsidR="00943AE7" w:rsidRPr="00ED53AE">
        <w:rPr>
          <w:szCs w:val="24"/>
        </w:rPr>
        <w:t xml:space="preserve">, šādos gadījumos tādu negatīvu ietekmi kā sabiedrībai piešķirtās licences anulēšanu pieļaut nedrīkst. Lūdzam attiecīgi precizēt likumprojekta </w:t>
      </w:r>
      <w:r w:rsidR="00943AE7" w:rsidRPr="00ED53AE">
        <w:rPr>
          <w:szCs w:val="24"/>
        </w:rPr>
        <w:lastRenderedPageBreak/>
        <w:t xml:space="preserve">16. panta pirmās daļas 10. punktu. </w:t>
      </w:r>
    </w:p>
    <w:p w14:paraId="30968514" w14:textId="35DC3788" w:rsidR="00524976" w:rsidRPr="00ED53AE" w:rsidRDefault="00457604" w:rsidP="000364D9">
      <w:pPr>
        <w:pStyle w:val="NoSpacing"/>
        <w:ind w:firstLine="567"/>
        <w:rPr>
          <w:szCs w:val="24"/>
        </w:rPr>
      </w:pPr>
      <w:r w:rsidRPr="00ED53AE">
        <w:rPr>
          <w:szCs w:val="24"/>
        </w:rPr>
        <w:t>13.</w:t>
      </w:r>
      <w:r w:rsidR="00493E71" w:rsidRPr="00ED53AE">
        <w:rPr>
          <w:szCs w:val="24"/>
        </w:rPr>
        <w:t xml:space="preserve"> </w:t>
      </w:r>
      <w:r w:rsidR="00524976" w:rsidRPr="00ED53AE">
        <w:rPr>
          <w:szCs w:val="24"/>
        </w:rPr>
        <w:t>Likumprojekta 18. panta septītajā un astotajā daļā norādīts, ka par Komisijas pieņemto lēmumu neatļaut ieguldījumu brokeru sabiedrībai uzsākt ieguldījumu pakalpojumu un ieguldījumu blakuspakalpojumu sniegšanu kādā no dalībvalstīm, atverot filiāli vai izmantojot piesaistītos aģentus, ieguldījumu brokeru sabiedrība tiek informēta. Vienlaikus likumprojekta 27. panta septītajā un astotajā daļā ietverts regulējums par administratīvā akta nosūtīšanu tā adresātam. Ievērojot minēto, vēršam uzmanību, ka saskaņā ar Administratīvā procesa likuma 70. panta pirmo daļu administratīvais akts stājas spēkā ar brīdi, kad tas paziņots adresātam, nevis adresāts par to ir informēts, vai administratīvais akts tam ir nosūtīts, tāpēc lūdzam precizēt likumprojektu atbilstoši Administratīvā procesa likumā lietotajai terminoloģijai.</w:t>
      </w:r>
    </w:p>
    <w:p w14:paraId="197C11D5" w14:textId="77777777" w:rsidR="00524976" w:rsidRPr="00ED53AE" w:rsidRDefault="00524976" w:rsidP="000364D9">
      <w:pPr>
        <w:pStyle w:val="NoSpacing"/>
        <w:ind w:firstLine="567"/>
        <w:rPr>
          <w:szCs w:val="24"/>
        </w:rPr>
      </w:pPr>
      <w:r w:rsidRPr="00ED53AE">
        <w:rPr>
          <w:szCs w:val="24"/>
        </w:rPr>
        <w:t xml:space="preserve">Vienlaikus nav skaidrs, ar ko atšķiras likumprojekta 18. panta septītajā un astotajā daļā ietvertais Komisijas lēmums neatļaut ieguldījumu brokeru sabiedrībai uzsākt ieguldījumu pakalpojumu un ieguldījumu blakuspakalpojumu sniegšanu kādā no dalībvalstīm, atverot filiāli, ja ieguldījumu brokeru sabiedrības pārvaldes struktūra vai finansiālā situācija nav atbilstoša jeb neatbilst plānotajai darbībai. Tā kā likumprojekta 18. panta septītā daļa minētajam lēmumam noteic viena mēneša termiņu, savukārt likumprojekta 18. panta astotā daļa minētajam lēmumam noteic sešu mēnešu termiņu, lūdzam sniegt skaidrojumu un atbilstoši precizēt likumprojektu. </w:t>
      </w:r>
    </w:p>
    <w:p w14:paraId="47C4C962" w14:textId="77777777" w:rsidR="00524976" w:rsidRPr="00ED53AE" w:rsidRDefault="00524976" w:rsidP="00ED5E90">
      <w:pPr>
        <w:pStyle w:val="NoSpacing"/>
        <w:ind w:firstLine="567"/>
        <w:rPr>
          <w:szCs w:val="24"/>
        </w:rPr>
      </w:pPr>
      <w:r w:rsidRPr="00ED53AE">
        <w:rPr>
          <w:szCs w:val="24"/>
        </w:rPr>
        <w:t>Papildus vēršam uzmanību, ka nav skaidrs, kāpēc likumprojekta 18. panta vienpadsmitā daļa noteic 30 dienu termiņu šā panta septītajā daļā minēto dokumentu izskatīšanai, ja no likumprojekta 18. panta septītās daļas jau izriet, ka Komisija izskata iesniegumu un tam pievienotos dokumentus mēneša laikā. Ievērojot minēto, lūdzam precizēt likumprojekta 18. panta vienpadsmito daļu.</w:t>
      </w:r>
    </w:p>
    <w:p w14:paraId="0880DD5E" w14:textId="2485B577" w:rsidR="00D965EC" w:rsidRPr="00ED53AE" w:rsidRDefault="009753E9" w:rsidP="00ED5E90">
      <w:pPr>
        <w:ind w:firstLine="567"/>
        <w:rPr>
          <w:szCs w:val="24"/>
        </w:rPr>
      </w:pPr>
      <w:r w:rsidRPr="00ED53AE">
        <w:rPr>
          <w:szCs w:val="24"/>
        </w:rPr>
        <w:t>1</w:t>
      </w:r>
      <w:r w:rsidR="00062165" w:rsidRPr="00ED53AE">
        <w:rPr>
          <w:szCs w:val="24"/>
        </w:rPr>
        <w:t>4</w:t>
      </w:r>
      <w:r w:rsidRPr="00ED53AE">
        <w:rPr>
          <w:szCs w:val="24"/>
        </w:rPr>
        <w:t xml:space="preserve">. </w:t>
      </w:r>
      <w:r w:rsidR="00D3561E" w:rsidRPr="00ED53AE">
        <w:rPr>
          <w:szCs w:val="24"/>
        </w:rPr>
        <w:t>Likumprojekta 24. panta ceturtajā daļā paredzēts, ka Komisija var uzlikt akcionāriem vai dalībniekiem ierobežojumu, kas neļauj tiem izmantot visas tiem piederošo akciju balsstiesības, pirms tam informējot par šo faktu akcionārus vai dalībniekus un ieguldījumu brokeru sabiedrību. Lūdzam precizēt šo normu, paredzot, ka Komisija informē attiecīgos subjektus ne tikai par balsstiesību ierobežošanas faktu, bet arī par to, cik lielā apmērā šīs balsstiesības ir ierobežotas.</w:t>
      </w:r>
    </w:p>
    <w:p w14:paraId="238C300C" w14:textId="4B16EB25" w:rsidR="00135E28" w:rsidRPr="00ED53AE" w:rsidRDefault="001E781F" w:rsidP="004002A6">
      <w:pPr>
        <w:ind w:firstLine="567"/>
        <w:rPr>
          <w:szCs w:val="24"/>
        </w:rPr>
      </w:pPr>
      <w:r w:rsidRPr="00ED53AE">
        <w:rPr>
          <w:szCs w:val="24"/>
        </w:rPr>
        <w:t>1</w:t>
      </w:r>
      <w:r w:rsidR="00062165" w:rsidRPr="00ED53AE">
        <w:rPr>
          <w:szCs w:val="24"/>
        </w:rPr>
        <w:t>5</w:t>
      </w:r>
      <w:r w:rsidRPr="00ED53AE">
        <w:rPr>
          <w:szCs w:val="24"/>
        </w:rPr>
        <w:t>. Likumprojekta 27. panta sestās daļas 3. punkts paredz, ka Komisija pieņem lēmumu aizliegt personai iegūt vai palielināt būtisku līdzdalību ieguldījumu brokeru sabiedrībā, ja tai no sevis neatkarīgu apstākļu dēļ nav iespējams sniegt likumā noteikto vai Komisijas papildu pieprasīto informāciju. Norādām, ka nav saprotams, kāpēc šāds aizliegums paredzēts arī tad, kad persona no sevis neatkarīgu iemeslu dēļ nevar sniegt informāciju Komisijai, un lūdzam skaidrot, vai šajā normā piemērotāk nebūtu lietot jēdzienu “</w:t>
      </w:r>
      <w:r w:rsidRPr="00ED53AE">
        <w:rPr>
          <w:i/>
          <w:iCs/>
          <w:szCs w:val="24"/>
        </w:rPr>
        <w:t xml:space="preserve">personas </w:t>
      </w:r>
      <w:r w:rsidR="00062165" w:rsidRPr="00ED53AE">
        <w:rPr>
          <w:i/>
          <w:iCs/>
          <w:szCs w:val="24"/>
        </w:rPr>
        <w:t>darbības vai bezdarbības</w:t>
      </w:r>
      <w:r w:rsidRPr="00ED53AE">
        <w:rPr>
          <w:i/>
          <w:iCs/>
          <w:szCs w:val="24"/>
        </w:rPr>
        <w:t xml:space="preserve"> dēļ</w:t>
      </w:r>
      <w:r w:rsidRPr="00ED53AE">
        <w:rPr>
          <w:szCs w:val="24"/>
        </w:rPr>
        <w:t>”.</w:t>
      </w:r>
    </w:p>
    <w:p w14:paraId="11E9AF8C" w14:textId="4947B598" w:rsidR="00385CF5" w:rsidRPr="00ED53AE" w:rsidRDefault="00156E8E" w:rsidP="004002A6">
      <w:pPr>
        <w:ind w:firstLine="567"/>
        <w:rPr>
          <w:szCs w:val="24"/>
        </w:rPr>
      </w:pPr>
      <w:r w:rsidRPr="00ED53AE">
        <w:rPr>
          <w:szCs w:val="24"/>
        </w:rPr>
        <w:t>1</w:t>
      </w:r>
      <w:r w:rsidR="00062165" w:rsidRPr="00ED53AE">
        <w:rPr>
          <w:szCs w:val="24"/>
        </w:rPr>
        <w:t>6</w:t>
      </w:r>
      <w:r w:rsidRPr="00ED53AE">
        <w:rPr>
          <w:szCs w:val="24"/>
        </w:rPr>
        <w:t>. Tāpat likumprojekta 27. panta septītajā daļā iekļauta atsauce uz šī panta piektajā daļā minētā lēmuma pieņemšanu, taču norādām, ka šī panta piektā daļa nesatur normu par lēmuma pieņemšanu. Tādēļ lūdzam precizēt 27. panta septīto daļu, aizstājot vārdus “</w:t>
      </w:r>
      <w:r w:rsidRPr="00ED53AE">
        <w:rPr>
          <w:i/>
          <w:iCs/>
          <w:szCs w:val="24"/>
        </w:rPr>
        <w:t>piektajā daļā</w:t>
      </w:r>
      <w:r w:rsidRPr="00ED53AE">
        <w:rPr>
          <w:szCs w:val="24"/>
        </w:rPr>
        <w:t>” ar vārdiem “</w:t>
      </w:r>
      <w:r w:rsidRPr="00ED53AE">
        <w:rPr>
          <w:i/>
          <w:iCs/>
          <w:szCs w:val="24"/>
        </w:rPr>
        <w:t>sestajā daļā</w:t>
      </w:r>
      <w:r w:rsidRPr="00ED53AE">
        <w:rPr>
          <w:szCs w:val="24"/>
        </w:rPr>
        <w:t>”.</w:t>
      </w:r>
    </w:p>
    <w:p w14:paraId="7D014B09" w14:textId="2DBFA128" w:rsidR="00ED5E90" w:rsidRPr="00ED53AE" w:rsidRDefault="00ED5E90" w:rsidP="004002A6">
      <w:pPr>
        <w:ind w:firstLine="567"/>
        <w:rPr>
          <w:szCs w:val="24"/>
        </w:rPr>
      </w:pPr>
      <w:r w:rsidRPr="00ED53AE">
        <w:rPr>
          <w:szCs w:val="24"/>
        </w:rPr>
        <w:t>1</w:t>
      </w:r>
      <w:r w:rsidR="00062165" w:rsidRPr="00ED53AE">
        <w:rPr>
          <w:szCs w:val="24"/>
        </w:rPr>
        <w:t>7</w:t>
      </w:r>
      <w:r w:rsidRPr="00ED53AE">
        <w:rPr>
          <w:szCs w:val="24"/>
        </w:rPr>
        <w:t>. Vēršam uzmanību</w:t>
      </w:r>
      <w:r w:rsidR="00EB0F0B" w:rsidRPr="00ED53AE">
        <w:rPr>
          <w:szCs w:val="24"/>
        </w:rPr>
        <w:t xml:space="preserve"> uz nekonsekvenci likumprojektā noteiktajos termiņos</w:t>
      </w:r>
      <w:r w:rsidRPr="00ED53AE">
        <w:rPr>
          <w:szCs w:val="24"/>
        </w:rPr>
        <w:t xml:space="preserve">, </w:t>
      </w:r>
      <w:r w:rsidR="00EB0F0B" w:rsidRPr="00ED53AE">
        <w:rPr>
          <w:szCs w:val="24"/>
        </w:rPr>
        <w:t>respektīvi,</w:t>
      </w:r>
      <w:r w:rsidRPr="00ED53AE">
        <w:rPr>
          <w:szCs w:val="24"/>
        </w:rPr>
        <w:t xml:space="preserve"> likumprojekta 27. panta astotajā daļā noteikts</w:t>
      </w:r>
      <w:r w:rsidR="00EB0F0B" w:rsidRPr="00ED53AE">
        <w:rPr>
          <w:szCs w:val="24"/>
        </w:rPr>
        <w:t>: “</w:t>
      </w:r>
      <w:r w:rsidR="00EB0F0B" w:rsidRPr="00ED53AE">
        <w:rPr>
          <w:i/>
          <w:iCs/>
          <w:szCs w:val="24"/>
        </w:rPr>
        <w:t xml:space="preserve">Ja Komisija šā panta </w:t>
      </w:r>
      <w:r w:rsidR="00EB0F0B" w:rsidRPr="00ED53AE">
        <w:rPr>
          <w:i/>
          <w:iCs/>
          <w:szCs w:val="24"/>
          <w:u w:val="single"/>
        </w:rPr>
        <w:t xml:space="preserve">pirmajā daļā minētajā termiņā nenosūta </w:t>
      </w:r>
      <w:r w:rsidR="00EB0F0B" w:rsidRPr="00ED53AE">
        <w:rPr>
          <w:i/>
          <w:iCs/>
          <w:szCs w:val="24"/>
        </w:rPr>
        <w:t>personai lēmumu, ar kuru aizliedz šai personai iegūt vai palielināt būtisku līdzdalību ieguldījumu brokeru sabiedrībā, uzskatāms, ka tā piekrīt personas būtiskas līdzdalības iegūšanai vai palielināšanai ieguldījumu brokeru sabiedrībā.</w:t>
      </w:r>
      <w:r w:rsidR="00EB0F0B" w:rsidRPr="00ED53AE">
        <w:rPr>
          <w:szCs w:val="24"/>
        </w:rPr>
        <w:t>” Taču norādām, ka šī panta pirmajā daļā, uz kuru izdarīta atsauce attiecīgajā normā, ir minēts lēmuma pieņemšanas termiņš (60 dienas), savukārt lēmuma nosūtīšanas termiņš (2 darba dienas) noteikts panta septītajā daļā. Ievērojot minēto, lūdzam precizēt likumprojekta 27. panta astoto daļu.</w:t>
      </w:r>
    </w:p>
    <w:p w14:paraId="7BAB4AD1" w14:textId="2B965213" w:rsidR="004002A6" w:rsidRPr="00ED53AE" w:rsidRDefault="004002A6" w:rsidP="004002A6">
      <w:pPr>
        <w:pStyle w:val="NormalWeb"/>
        <w:spacing w:before="0" w:after="0"/>
        <w:ind w:right="13" w:firstLine="567"/>
        <w:jc w:val="both"/>
      </w:pPr>
      <w:r w:rsidRPr="00ED53AE">
        <w:t>1</w:t>
      </w:r>
      <w:r w:rsidR="00062165" w:rsidRPr="00ED53AE">
        <w:t>8</w:t>
      </w:r>
      <w:r w:rsidRPr="00ED53AE">
        <w:t xml:space="preserve">. Likumprojekta 27. panta desmitā daļa noteic, ka persona savu būtisko līdzdalību ieguldījumu brokeru sabiedrībā iegūst vai palielina sešu mēnešu laikā no dienas, kad nosūtīta šā likuma 26. panta trešajā daļā minētā informācija par paziņojuma vai papildu informācijas saņemšanu. Vienlaikus likumprojekta 27. panta pirmā daļa noteic tādu pašu termiņa atskaites punktu Komisijas lēmuma pieņemšanai. No minētā izriet, ka persona var iegūt būtisko līdzdalību ieguldījumu brokeru sabiedrībā pirms Komisijas lēmuma. Nav skaidrs, vai šāda kārtība ir pieļaujama, tāpēc lūdzam par to sniegt skaidrojumu. Vienlaikus lūdzam izvērtēt, vai, pieļaujot šādu </w:t>
      </w:r>
      <w:r w:rsidRPr="00ED53AE">
        <w:lastRenderedPageBreak/>
        <w:t>kārtību, Komisijas lēmums vispār ir nepieciešams. Ievērojot minēto, lūdzam precizēt likumprojektu un papildināt anotāciju ar skaidrojumu.</w:t>
      </w:r>
    </w:p>
    <w:p w14:paraId="75622A76" w14:textId="668AFD38" w:rsidR="004002A6" w:rsidRPr="00ED53AE" w:rsidRDefault="004002A6" w:rsidP="004002A6">
      <w:pPr>
        <w:pStyle w:val="NoSpacing"/>
        <w:ind w:firstLine="567"/>
        <w:rPr>
          <w:szCs w:val="24"/>
        </w:rPr>
      </w:pPr>
      <w:r w:rsidRPr="00ED53AE">
        <w:rPr>
          <w:szCs w:val="24"/>
        </w:rPr>
        <w:t>Papildus vēršam uzmanību, ka likumprojekta 27. panta četrpadsmitā daļa noteic, ka šā panta trešajā un devītajā daļā minētā Komisijas izdotā administratīvā akta pārsūdzēšana neaptur tā izpildi. Ne no likumprojekta 27. panta trešās daļas, ne no likumprojekta 27. panta devītās daļas neizriet Komisijai tiesības izdot administratīvos aktus, tāpēc lūdzam atbilstoši precizēt likumprojektu.</w:t>
      </w:r>
    </w:p>
    <w:p w14:paraId="7D213F88" w14:textId="5F0E692D" w:rsidR="004002A6" w:rsidRPr="00ED53AE" w:rsidRDefault="00B832DF" w:rsidP="00B832DF">
      <w:pPr>
        <w:ind w:firstLine="567"/>
        <w:rPr>
          <w:szCs w:val="24"/>
        </w:rPr>
      </w:pPr>
      <w:r w:rsidRPr="00ED53AE">
        <w:rPr>
          <w:szCs w:val="24"/>
        </w:rPr>
        <w:t>1</w:t>
      </w:r>
      <w:r w:rsidR="00062165" w:rsidRPr="00ED53AE">
        <w:rPr>
          <w:szCs w:val="24"/>
        </w:rPr>
        <w:t>9</w:t>
      </w:r>
      <w:r w:rsidRPr="00ED53AE">
        <w:rPr>
          <w:szCs w:val="24"/>
        </w:rPr>
        <w:t xml:space="preserve">. </w:t>
      </w:r>
      <w:r w:rsidR="000311C0" w:rsidRPr="00ED53AE">
        <w:rPr>
          <w:szCs w:val="24"/>
        </w:rPr>
        <w:t xml:space="preserve">Likumprojekta </w:t>
      </w:r>
      <w:r w:rsidR="00A45B7B" w:rsidRPr="00ED53AE">
        <w:rPr>
          <w:szCs w:val="24"/>
        </w:rPr>
        <w:t xml:space="preserve">26. un </w:t>
      </w:r>
      <w:r w:rsidR="000311C0" w:rsidRPr="00ED53AE">
        <w:rPr>
          <w:szCs w:val="24"/>
        </w:rPr>
        <w:t>28. pant</w:t>
      </w:r>
      <w:r w:rsidR="00A45B7B" w:rsidRPr="00ED53AE">
        <w:rPr>
          <w:szCs w:val="24"/>
        </w:rPr>
        <w:t xml:space="preserve">ā </w:t>
      </w:r>
      <w:r w:rsidR="000311C0" w:rsidRPr="00ED53AE">
        <w:rPr>
          <w:szCs w:val="24"/>
        </w:rPr>
        <w:t>noteikts, ka personai par lēmumu iepriekš rakstveidā jāpaziņo Komisijai</w:t>
      </w:r>
      <w:r w:rsidR="00E319EA" w:rsidRPr="00ED53AE">
        <w:rPr>
          <w:szCs w:val="24"/>
        </w:rPr>
        <w:t xml:space="preserve">, taču nav noteikts laika periods, kādā šāds paziņojums jāveic. </w:t>
      </w:r>
      <w:r w:rsidR="0010749D" w:rsidRPr="00ED53AE">
        <w:rPr>
          <w:szCs w:val="24"/>
        </w:rPr>
        <w:t>Norādām, ka likumprojektā līdzīgu paziņojumu sniegšanai paredzēts sevišķs termiņš, piemēram, 17. panta trešajā daļā un 18. panta desmitajā daļā. Ievērojot minēto, lūdzam papildināt likumprojektu, norādot termiņu, kādā personai jāsniedz Komisijai 26. un 28. pantā minēt</w:t>
      </w:r>
      <w:r w:rsidR="005128FE" w:rsidRPr="00ED53AE">
        <w:rPr>
          <w:szCs w:val="24"/>
        </w:rPr>
        <w:t>ie paziņojumi.</w:t>
      </w:r>
    </w:p>
    <w:p w14:paraId="1DFD829F" w14:textId="438EFFF9" w:rsidR="00005912" w:rsidRPr="00ED53AE" w:rsidRDefault="00062165" w:rsidP="00B832DF">
      <w:pPr>
        <w:ind w:firstLine="567"/>
        <w:rPr>
          <w:szCs w:val="24"/>
        </w:rPr>
      </w:pPr>
      <w:r w:rsidRPr="00ED53AE">
        <w:rPr>
          <w:szCs w:val="24"/>
        </w:rPr>
        <w:t xml:space="preserve">20. </w:t>
      </w:r>
      <w:r w:rsidR="009A7043" w:rsidRPr="00ED53AE">
        <w:rPr>
          <w:szCs w:val="24"/>
        </w:rPr>
        <w:t>Attiecībā uz likumprojekta 30. panta otrajā daļā iekļauto regulējumu, kas paredz, ka akcionāru (dalībnieku)</w:t>
      </w:r>
      <w:r w:rsidR="00640E57" w:rsidRPr="00ED53AE">
        <w:rPr>
          <w:szCs w:val="24"/>
        </w:rPr>
        <w:t xml:space="preserve"> sapulces lēmumi nav spēkā no to pieņemšanas brīža, vēlamies norādīt sekojošo.</w:t>
      </w:r>
      <w:r w:rsidR="00005912" w:rsidRPr="00ED53AE">
        <w:rPr>
          <w:szCs w:val="24"/>
        </w:rPr>
        <w:t xml:space="preserve"> Pirmkārt, s</w:t>
      </w:r>
      <w:r w:rsidR="00640E57" w:rsidRPr="00ED53AE">
        <w:rPr>
          <w:szCs w:val="24"/>
        </w:rPr>
        <w:t>askaņā ar Komerclikuma</w:t>
      </w:r>
      <w:r w:rsidR="008E769D" w:rsidRPr="00ED53AE">
        <w:rPr>
          <w:szCs w:val="24"/>
        </w:rPr>
        <w:t xml:space="preserve"> 217. un 286. pantu gan dalībnieku, gan akcionāru lēmumus par spēkā neesošiem var atzīt tikai tiesa, turklāt ievērojot Komerclikum</w:t>
      </w:r>
      <w:r w:rsidR="002D3A4B" w:rsidRPr="00ED53AE">
        <w:rPr>
          <w:szCs w:val="24"/>
        </w:rPr>
        <w:t xml:space="preserve">a noteikumus un civilprocesuālo kārtību, </w:t>
      </w:r>
      <w:r w:rsidR="008E769D" w:rsidRPr="00ED53AE">
        <w:rPr>
          <w:szCs w:val="24"/>
        </w:rPr>
        <w:t xml:space="preserve">un nav </w:t>
      </w:r>
      <w:r w:rsidR="00A30665" w:rsidRPr="00ED53AE">
        <w:rPr>
          <w:szCs w:val="24"/>
        </w:rPr>
        <w:t>iespējama</w:t>
      </w:r>
      <w:r w:rsidR="008E769D" w:rsidRPr="00ED53AE">
        <w:rPr>
          <w:szCs w:val="24"/>
        </w:rPr>
        <w:t xml:space="preserve"> situācija, ka lēmums varētu </w:t>
      </w:r>
      <w:r w:rsidR="00A30665" w:rsidRPr="00ED53AE">
        <w:rPr>
          <w:szCs w:val="24"/>
        </w:rPr>
        <w:t xml:space="preserve">zaudēt spēku </w:t>
      </w:r>
      <w:r w:rsidR="008E769D" w:rsidRPr="00ED53AE">
        <w:rPr>
          <w:szCs w:val="24"/>
        </w:rPr>
        <w:t xml:space="preserve">bez </w:t>
      </w:r>
      <w:r w:rsidR="00832F55" w:rsidRPr="00ED53AE">
        <w:rPr>
          <w:szCs w:val="24"/>
        </w:rPr>
        <w:t xml:space="preserve">prasības celšanas un </w:t>
      </w:r>
      <w:r w:rsidR="008E769D" w:rsidRPr="00ED53AE">
        <w:rPr>
          <w:szCs w:val="24"/>
        </w:rPr>
        <w:t xml:space="preserve">tiesas nolēmuma. </w:t>
      </w:r>
    </w:p>
    <w:p w14:paraId="1E0E0262" w14:textId="716379C1" w:rsidR="00005912" w:rsidRPr="00ED53AE" w:rsidRDefault="00005912" w:rsidP="00005912">
      <w:pPr>
        <w:spacing w:line="276" w:lineRule="auto"/>
        <w:ind w:firstLine="567"/>
        <w:rPr>
          <w:szCs w:val="24"/>
        </w:rPr>
      </w:pPr>
      <w:r w:rsidRPr="00ED53AE">
        <w:rPr>
          <w:szCs w:val="24"/>
        </w:rPr>
        <w:t>Otrkārt, atbilstoši Augstākās tiesas judikatūrai dalībnieku sapulces lēmuma atzīšanas par spēkā neesošu tiesiskās sekas ir tādas, ka tas uzskatāms par nekad nepastāvējušu, proti, jau no pieņemšanas brīža</w:t>
      </w:r>
      <w:r w:rsidR="006E2973" w:rsidRPr="00ED53AE">
        <w:rPr>
          <w:szCs w:val="24"/>
        </w:rPr>
        <w:t>.</w:t>
      </w:r>
      <w:r w:rsidR="00421317" w:rsidRPr="00ED53AE">
        <w:rPr>
          <w:rStyle w:val="FootnoteReference"/>
          <w:szCs w:val="24"/>
        </w:rPr>
        <w:footnoteReference w:id="5"/>
      </w:r>
    </w:p>
    <w:p w14:paraId="4A20D2FE" w14:textId="5FFECEB8" w:rsidR="00554D7D" w:rsidRPr="00ED53AE" w:rsidRDefault="00554D7D" w:rsidP="00554D7D">
      <w:pPr>
        <w:spacing w:line="276" w:lineRule="auto"/>
        <w:ind w:firstLine="567"/>
        <w:rPr>
          <w:szCs w:val="24"/>
        </w:rPr>
      </w:pPr>
      <w:r w:rsidRPr="00ED53AE">
        <w:rPr>
          <w:szCs w:val="24"/>
        </w:rPr>
        <w:t xml:space="preserve">Treškārt, </w:t>
      </w:r>
      <w:r w:rsidR="00475EB7" w:rsidRPr="00ED53AE">
        <w:rPr>
          <w:szCs w:val="24"/>
        </w:rPr>
        <w:t>p</w:t>
      </w:r>
      <w:r w:rsidR="002D3A4B" w:rsidRPr="00ED53AE">
        <w:rPr>
          <w:szCs w:val="24"/>
        </w:rPr>
        <w:t>rasību par lēmuma atzīšanu par spēkā neesošu</w:t>
      </w:r>
      <w:r w:rsidR="00475EB7" w:rsidRPr="00ED53AE">
        <w:rPr>
          <w:szCs w:val="24"/>
        </w:rPr>
        <w:t xml:space="preserve"> var celt tikai konkrēti subjekti – valdes un padomes locekļi, dalībnieki</w:t>
      </w:r>
      <w:r w:rsidR="009E6038" w:rsidRPr="00ED53AE">
        <w:rPr>
          <w:szCs w:val="24"/>
        </w:rPr>
        <w:t>, kā arī</w:t>
      </w:r>
      <w:r w:rsidR="00475EB7" w:rsidRPr="00ED53AE">
        <w:rPr>
          <w:szCs w:val="24"/>
        </w:rPr>
        <w:t xml:space="preserve"> akcionāri atbilstoši Komerclikuma 287. pant</w:t>
      </w:r>
      <w:r w:rsidR="002B1083" w:rsidRPr="00ED53AE">
        <w:rPr>
          <w:szCs w:val="24"/>
        </w:rPr>
        <w:t>a</w:t>
      </w:r>
      <w:r w:rsidR="00CE4FEB" w:rsidRPr="00ED53AE">
        <w:rPr>
          <w:szCs w:val="24"/>
        </w:rPr>
        <w:t xml:space="preserve"> nosacījumiem.</w:t>
      </w:r>
      <w:r w:rsidR="00832F55" w:rsidRPr="00ED53AE">
        <w:rPr>
          <w:szCs w:val="24"/>
        </w:rPr>
        <w:t xml:space="preserve"> </w:t>
      </w:r>
      <w:r w:rsidRPr="00ED53AE">
        <w:rPr>
          <w:szCs w:val="24"/>
        </w:rPr>
        <w:t>Līdz ar to, lai dalībnieku (akcionāru) sapulces lēmumu atzītu par spēkā neesošu ir nepieciešama šo personu aktīva rīcība un, ja neviena no minētajam personām nevēršas tiesā, tad dalībnieku (akcionāru) sapulcē pieņemtie lēmumi paliek spēkā.</w:t>
      </w:r>
    </w:p>
    <w:p w14:paraId="11A680AC" w14:textId="2962B578" w:rsidR="00B976F5" w:rsidRPr="00ED53AE" w:rsidRDefault="00554D7D" w:rsidP="00D7499B">
      <w:pPr>
        <w:spacing w:line="276" w:lineRule="auto"/>
        <w:ind w:firstLine="567"/>
        <w:rPr>
          <w:szCs w:val="24"/>
        </w:rPr>
      </w:pPr>
      <w:r w:rsidRPr="00ED53AE">
        <w:rPr>
          <w:szCs w:val="24"/>
        </w:rPr>
        <w:t>Ceturtkārt, v</w:t>
      </w:r>
      <w:r w:rsidR="00832F55" w:rsidRPr="00ED53AE">
        <w:rPr>
          <w:szCs w:val="24"/>
        </w:rPr>
        <w:t xml:space="preserve">ēršam uzmanību, ka </w:t>
      </w:r>
      <w:r w:rsidRPr="00ED53AE">
        <w:rPr>
          <w:szCs w:val="24"/>
        </w:rPr>
        <w:t xml:space="preserve">dalībnieku (akcionāru) sapulces </w:t>
      </w:r>
      <w:r w:rsidR="00832F55" w:rsidRPr="00ED53AE">
        <w:rPr>
          <w:szCs w:val="24"/>
        </w:rPr>
        <w:t>lēmums ir saistošs kapitālsabiedrības valdei, un</w:t>
      </w:r>
      <w:r w:rsidRPr="00ED53AE">
        <w:rPr>
          <w:szCs w:val="24"/>
        </w:rPr>
        <w:t xml:space="preserve">, ja uz minētā lēmuma pamata ir izdarāmi ieraksti komercreģistrā, tad atbilstoši Komerclikuma </w:t>
      </w:r>
      <w:r w:rsidR="00CA2853" w:rsidRPr="00ED53AE">
        <w:rPr>
          <w:szCs w:val="24"/>
        </w:rPr>
        <w:t>16. pantam šādas ziņas un likumā noteiktie dokumenti iesniedzami Uzņēmumu reģistram 14 dienu laikā no attiecīgā lēmuma pieņemšanas dienas, ja Komerclikumā nav noteikts citādi.</w:t>
      </w:r>
      <w:r w:rsidR="00B976F5" w:rsidRPr="00ED53AE">
        <w:rPr>
          <w:szCs w:val="24"/>
        </w:rPr>
        <w:t xml:space="preserve"> Līdz ar to, </w:t>
      </w:r>
      <w:r w:rsidR="00832F55" w:rsidRPr="00ED53AE">
        <w:rPr>
          <w:szCs w:val="24"/>
        </w:rPr>
        <w:t xml:space="preserve">ja vien tiesa to nav atzinusi </w:t>
      </w:r>
      <w:r w:rsidR="00B976F5" w:rsidRPr="00ED53AE">
        <w:rPr>
          <w:szCs w:val="24"/>
        </w:rPr>
        <w:t xml:space="preserve">dalībnieku (akcionāru) sapulces lēmumu </w:t>
      </w:r>
      <w:r w:rsidR="00832F55" w:rsidRPr="00ED53AE">
        <w:rPr>
          <w:szCs w:val="24"/>
        </w:rPr>
        <w:t xml:space="preserve">par spēkā neesošu, valdei ir pienākums pildīt lēmumā noteikto, tai skaitā reģistrēt attiecīgās izmaiņas komercreģistrā. </w:t>
      </w:r>
    </w:p>
    <w:p w14:paraId="27D18B2A" w14:textId="634CBAC8" w:rsidR="00062165" w:rsidRPr="00ED53AE" w:rsidRDefault="00832F55" w:rsidP="00D7499B">
      <w:pPr>
        <w:spacing w:line="276" w:lineRule="auto"/>
        <w:ind w:firstLine="567"/>
        <w:rPr>
          <w:szCs w:val="24"/>
        </w:rPr>
      </w:pPr>
      <w:r w:rsidRPr="00ED53AE">
        <w:rPr>
          <w:szCs w:val="24"/>
        </w:rPr>
        <w:t xml:space="preserve">Ievērojot minēto, lūdzam precizēt likumprojekta 30. panta otro daļu. </w:t>
      </w:r>
    </w:p>
    <w:p w14:paraId="7E984CE5" w14:textId="4031019F" w:rsidR="004B5E18" w:rsidRPr="00ED53AE" w:rsidRDefault="00274BC2" w:rsidP="009F2E43">
      <w:pPr>
        <w:ind w:firstLine="567"/>
        <w:rPr>
          <w:szCs w:val="24"/>
        </w:rPr>
      </w:pPr>
      <w:r w:rsidRPr="00ED53AE">
        <w:rPr>
          <w:szCs w:val="24"/>
        </w:rPr>
        <w:t>21</w:t>
      </w:r>
      <w:r w:rsidR="009F2E43" w:rsidRPr="00ED53AE">
        <w:rPr>
          <w:szCs w:val="24"/>
        </w:rPr>
        <w:t>. Likumprojekta 31. panta pirmās daļas 8. punkts noteic, ka ieguldījumu brokeru sabiedrība saskaņā ar tai izsniegto licenci ieguldījumu pakalpojumu sniegšanai šīs licences darbības laikā saskaņā ar šā likuma prasībām, Komisijas normatīvajiem noteikumiem un iekšējās kārtības noteikumiem veic datu apstrādes, glabāšanas un pārraides drošības pasākumus. Šāds regulējums ir pretrunā Valsts pārvaldes iekārtas likuma 72. panta ceturtajai daļai, kas noteic, ka iekšējais normatīvais akts ir saistošs iestādei (tās struktūrvienībai, darbiniekiem) vai amatpersonām, attiecībā uz kurām tas izdots. Ievērojot minēto, lūdzam precizēt likumprojektu.</w:t>
      </w:r>
    </w:p>
    <w:p w14:paraId="191798A8" w14:textId="3317F519" w:rsidR="009F2E43" w:rsidRPr="00ED53AE" w:rsidRDefault="00274BC2" w:rsidP="009F2E43">
      <w:pPr>
        <w:ind w:firstLine="567"/>
        <w:rPr>
          <w:szCs w:val="24"/>
        </w:rPr>
      </w:pPr>
      <w:r w:rsidRPr="00ED53AE">
        <w:rPr>
          <w:szCs w:val="24"/>
        </w:rPr>
        <w:t>22</w:t>
      </w:r>
      <w:r w:rsidR="009F2E43" w:rsidRPr="00ED53AE">
        <w:rPr>
          <w:szCs w:val="24"/>
        </w:rPr>
        <w:t xml:space="preserve">. Likumprojekta 35. pants noteic, ka </w:t>
      </w:r>
      <w:r w:rsidR="009F2E43" w:rsidRPr="00ED53AE">
        <w:rPr>
          <w:rFonts w:eastAsiaTheme="minorHAnsi"/>
          <w:bCs/>
          <w:szCs w:val="24"/>
        </w:rPr>
        <w:t>Komisija ir tiesīga ierobežot ieguldījumu brokeru sabiedrības tiesības sniegt vienu vai vairākus ieguldījumu pakalpojumus un veikt finanšu instrumentu turēšanu</w:t>
      </w:r>
      <w:r w:rsidR="009F2E43" w:rsidRPr="00ED53AE">
        <w:rPr>
          <w:szCs w:val="24"/>
        </w:rPr>
        <w:t xml:space="preserve">. Vienlaikus likumprojekts neparedz šāda tiesību ierobežojuma termiņu. Vēršam uzmanību, ka liegums personai sniegt pakalpojumu ir būtisks privātpersonas tiesību ierobežojums, tāpēc nav pieļaujams, ka tas tiek paredzēts bez termiņa (salīdzinājumam Administratīvās atbildības likuma 18. panta otrā daļa). Ievērojot minēto, lūdzam precizēt </w:t>
      </w:r>
      <w:r w:rsidR="009F2E43" w:rsidRPr="00ED53AE">
        <w:rPr>
          <w:szCs w:val="24"/>
        </w:rPr>
        <w:lastRenderedPageBreak/>
        <w:t>likumprojektu.</w:t>
      </w:r>
    </w:p>
    <w:p w14:paraId="54F7F476" w14:textId="39228CBC" w:rsidR="009F2E43" w:rsidRPr="00ED53AE" w:rsidRDefault="00274BC2" w:rsidP="009F2E43">
      <w:pPr>
        <w:ind w:firstLine="567"/>
        <w:rPr>
          <w:szCs w:val="24"/>
        </w:rPr>
      </w:pPr>
      <w:r w:rsidRPr="00ED53AE">
        <w:rPr>
          <w:szCs w:val="24"/>
        </w:rPr>
        <w:t>23</w:t>
      </w:r>
      <w:r w:rsidR="009F2E43" w:rsidRPr="00ED53AE">
        <w:rPr>
          <w:szCs w:val="24"/>
        </w:rPr>
        <w:t>. Lūdzam izvērtēt likumprojekta 38. pantā ietvertā regulējuma atbilstību Trauksmes celšanas likumam, tostarp atbilstoši noteikumu Nr. 108 3.2. apakšpunktam novēršot likumprojektā ietverto tiesību normu dublēšanos ar Trauksmes celšanas likuma 11. pantu par trauksmes cēlēja identitātes aizsardzību, Trauksmes celšanas likuma 12. pantu par trauksmes cēlēja ziņojumā minētās personas identitātes aizsardzību, kā arī Trauksmes celšanas likuma 13. pantu par aizsardzību pret trauksmes celšanas dēļ radītām nelabvēlīgām sekām.</w:t>
      </w:r>
    </w:p>
    <w:p w14:paraId="45065D58" w14:textId="7D7DDB2A" w:rsidR="009F2E43" w:rsidRPr="00ED53AE" w:rsidRDefault="00274BC2" w:rsidP="009F2E43">
      <w:pPr>
        <w:pStyle w:val="NoSpacing"/>
        <w:ind w:firstLine="567"/>
        <w:rPr>
          <w:szCs w:val="24"/>
        </w:rPr>
      </w:pPr>
      <w:r w:rsidRPr="00ED53AE">
        <w:rPr>
          <w:szCs w:val="24"/>
        </w:rPr>
        <w:t>24</w:t>
      </w:r>
      <w:r w:rsidR="009F2E43" w:rsidRPr="00ED53AE">
        <w:rPr>
          <w:szCs w:val="24"/>
        </w:rPr>
        <w:t>. Likumprojekta 39. pantā ietvertajam tiesiskajam regulējumam nav juridiskās slodzes, tāpēc lūdzam to izslēgt.</w:t>
      </w:r>
    </w:p>
    <w:p w14:paraId="70A3EA88" w14:textId="604DD66A" w:rsidR="00F624B0" w:rsidRPr="00ED53AE" w:rsidRDefault="00F624B0" w:rsidP="006E2973">
      <w:pPr>
        <w:ind w:firstLine="567"/>
        <w:rPr>
          <w:szCs w:val="24"/>
        </w:rPr>
      </w:pPr>
      <w:r w:rsidRPr="00ED53AE">
        <w:rPr>
          <w:szCs w:val="24"/>
        </w:rPr>
        <w:t>2</w:t>
      </w:r>
      <w:r w:rsidR="00274BC2" w:rsidRPr="00ED53AE">
        <w:rPr>
          <w:szCs w:val="24"/>
        </w:rPr>
        <w:t>5</w:t>
      </w:r>
      <w:r w:rsidRPr="00ED53AE">
        <w:rPr>
          <w:szCs w:val="24"/>
        </w:rPr>
        <w:t xml:space="preserve">. Norādām, ka vispārīgais regulējums par gada pārskatiem ir noteikts Gada pārskatu un konsolidēto gada pārskatu likumā, taču citos normatīvajos aktos ir iespējams noteikt speciālās normas, ja plānots paredzēt no vispārīgā regulējuma atšķirīgu kārtība. </w:t>
      </w:r>
      <w:r w:rsidR="009209CA" w:rsidRPr="00ED53AE">
        <w:rPr>
          <w:szCs w:val="24"/>
        </w:rPr>
        <w:t>Tā kā likumprojekta 41.</w:t>
      </w:r>
      <w:r w:rsidR="00C30184" w:rsidRPr="00ED53AE">
        <w:rPr>
          <w:szCs w:val="24"/>
        </w:rPr>
        <w:t> </w:t>
      </w:r>
      <w:r w:rsidR="009209CA" w:rsidRPr="00ED53AE">
        <w:rPr>
          <w:szCs w:val="24"/>
        </w:rPr>
        <w:t>pants satur normas, kas dublē Gada pārskatu un konsolidēto gada pārskatu likuma regulējumu,</w:t>
      </w:r>
      <w:r w:rsidR="005F2EBC" w:rsidRPr="00ED53AE">
        <w:rPr>
          <w:szCs w:val="24"/>
        </w:rPr>
        <w:t xml:space="preserve"> </w:t>
      </w:r>
      <w:r w:rsidR="009209CA" w:rsidRPr="00ED53AE">
        <w:rPr>
          <w:szCs w:val="24"/>
        </w:rPr>
        <w:t>aicinām precizēt likumprojekta 41. pantu, izslēdzot vispārīgo regulējumu dublējošās normas</w:t>
      </w:r>
      <w:r w:rsidR="005F2EBC" w:rsidRPr="00ED53AE">
        <w:rPr>
          <w:szCs w:val="24"/>
        </w:rPr>
        <w:t>, jo sevišķi 41. panta otro un trešo daļu</w:t>
      </w:r>
      <w:r w:rsidR="009209CA" w:rsidRPr="00ED53AE">
        <w:rPr>
          <w:szCs w:val="24"/>
        </w:rPr>
        <w:t xml:space="preserve">. </w:t>
      </w:r>
    </w:p>
    <w:p w14:paraId="2BB20907" w14:textId="7E546C4F" w:rsidR="00D056B0" w:rsidRPr="00ED53AE" w:rsidRDefault="00D056B0" w:rsidP="00D056B0">
      <w:pPr>
        <w:pStyle w:val="NoSpacing"/>
        <w:ind w:firstLine="567"/>
        <w:rPr>
          <w:szCs w:val="24"/>
        </w:rPr>
      </w:pPr>
      <w:r w:rsidRPr="00ED53AE">
        <w:rPr>
          <w:szCs w:val="24"/>
        </w:rPr>
        <w:t>2</w:t>
      </w:r>
      <w:r w:rsidR="00274BC2" w:rsidRPr="00ED53AE">
        <w:rPr>
          <w:szCs w:val="24"/>
        </w:rPr>
        <w:t>6</w:t>
      </w:r>
      <w:r w:rsidRPr="00ED53AE">
        <w:rPr>
          <w:szCs w:val="24"/>
        </w:rPr>
        <w:t>. Likumprojekta 43. pantā tiek regulētas izmeklēšanas pilnvaras. Vēršam uzmanību, ka administratīvajā procesā nepastāv izmeklēšanas pilnvaras, kādas ir noteiktas administratīvās atbildības procesā vai kriminālprocesā. Nav skaidrs, kas likumprojektā ir domāts ar "</w:t>
      </w:r>
      <w:r w:rsidRPr="00ED53AE">
        <w:rPr>
          <w:i/>
          <w:iCs/>
          <w:szCs w:val="24"/>
        </w:rPr>
        <w:t>izmeklēšanas pilnvarām</w:t>
      </w:r>
      <w:r w:rsidRPr="00ED53AE">
        <w:rPr>
          <w:szCs w:val="24"/>
        </w:rPr>
        <w:t xml:space="preserve">". Šādas procesuālās darbības regulējošai likuma vienībai jābūt pieejamai, pietiekami precīzai un paredzamai tās piemērošanā, lai izvairītos no jebkāda patvaļības riska </w:t>
      </w:r>
      <w:r w:rsidRPr="00ED53AE">
        <w:rPr>
          <w:i/>
          <w:iCs/>
          <w:szCs w:val="24"/>
        </w:rPr>
        <w:t>(sk. Eiropas Cilvēktiesību tiesas 2017. gada 18. maija spriedumu lietā Bože pret Latviju (pieteikuma Nr. 40927/05), 74. §)</w:t>
      </w:r>
      <w:r w:rsidRPr="00ED53AE">
        <w:rPr>
          <w:szCs w:val="24"/>
        </w:rPr>
        <w:t>. Latvijas tiesību sistēmā šiem jēdzieniem nav vienotas un precīzi norobežotas izpratnes. Ievērojot minēto, lūdzam precizēt likumprojektu vai ietvert skaidrojumu likumprojekta anotācijā.</w:t>
      </w:r>
    </w:p>
    <w:p w14:paraId="681110EE" w14:textId="0616F182" w:rsidR="00D056B0" w:rsidRPr="00ED53AE" w:rsidRDefault="00D056B0" w:rsidP="00D056B0">
      <w:pPr>
        <w:pStyle w:val="NoSpacing"/>
        <w:ind w:firstLine="567"/>
        <w:rPr>
          <w:szCs w:val="24"/>
        </w:rPr>
      </w:pPr>
      <w:r w:rsidRPr="00ED53AE">
        <w:rPr>
          <w:szCs w:val="24"/>
        </w:rPr>
        <w:t xml:space="preserve"> Papildus vēršam uzmanību, ka likumprojekta 43. panta trešajā daļā ietvertās Komisijas tiesības iekļūt privātīpašumā ir būtisks tiesību ierobežojums, kas pieļaujams tikai atsevišķos, īpaši pamatotos un ar likumu noteiktos gadījumos </w:t>
      </w:r>
      <w:r w:rsidRPr="00ED53AE">
        <w:rPr>
          <w:i/>
          <w:iCs/>
          <w:szCs w:val="24"/>
        </w:rPr>
        <w:t>(sk., piemēram, Administratīvās atbildības likuma 110. panta otro daļu)</w:t>
      </w:r>
      <w:r w:rsidRPr="00ED53AE">
        <w:rPr>
          <w:szCs w:val="24"/>
        </w:rPr>
        <w:t>. Ievērojot minēto, lūdzam izvērtēt likumprojektā ietverto regulējumu, precizēt to un nepieciešamības gadījumā papildināt anotāciju ar atbilstošu pamatojumu.</w:t>
      </w:r>
    </w:p>
    <w:p w14:paraId="73F85740" w14:textId="07CC196D" w:rsidR="00563D1F" w:rsidRPr="00ED53AE" w:rsidRDefault="00563D1F" w:rsidP="00563D1F">
      <w:pPr>
        <w:pStyle w:val="NoSpacing"/>
        <w:ind w:firstLine="567"/>
        <w:rPr>
          <w:szCs w:val="24"/>
        </w:rPr>
      </w:pPr>
      <w:r w:rsidRPr="00ED53AE">
        <w:rPr>
          <w:szCs w:val="24"/>
        </w:rPr>
        <w:t>2</w:t>
      </w:r>
      <w:r w:rsidR="00274BC2" w:rsidRPr="00ED53AE">
        <w:rPr>
          <w:szCs w:val="24"/>
        </w:rPr>
        <w:t>7</w:t>
      </w:r>
      <w:r w:rsidRPr="00ED53AE">
        <w:rPr>
          <w:szCs w:val="24"/>
        </w:rPr>
        <w:t>. Nav saprotams, kāpēc likumprojekta 49. panta septītajā daļā noteikts, ka šā panta sestajā daļā minēto lēmumu var pārsūdzēt Administratīvajā apgabaltiesā, ievērojot to, ka likumprojekta 66. panta pirmā daļa paredz, ka Komisijas lēmumus pārsūdz vispārējā kārtībā. Ja konkrētajam lēmuma veidam paredzama īpaša pārsūdzības kārtība, tas ir jāpamato anotācijā. Ievērojot minēto, lūdzam precizēt likumprojektu vai tā anotāciju.</w:t>
      </w:r>
    </w:p>
    <w:p w14:paraId="53E9ECF8" w14:textId="3BF80E7D" w:rsidR="00563D1F" w:rsidRPr="00ED53AE" w:rsidRDefault="00563D1F" w:rsidP="00563D1F">
      <w:pPr>
        <w:ind w:firstLine="567"/>
        <w:rPr>
          <w:szCs w:val="24"/>
        </w:rPr>
      </w:pPr>
      <w:r w:rsidRPr="00ED53AE">
        <w:rPr>
          <w:szCs w:val="24"/>
        </w:rPr>
        <w:t>2</w:t>
      </w:r>
      <w:r w:rsidR="00274BC2" w:rsidRPr="00ED53AE">
        <w:rPr>
          <w:szCs w:val="24"/>
        </w:rPr>
        <w:t>8</w:t>
      </w:r>
      <w:r w:rsidRPr="00ED53AE">
        <w:rPr>
          <w:szCs w:val="24"/>
        </w:rPr>
        <w:t>.</w:t>
      </w:r>
      <w:r w:rsidR="009F62B1" w:rsidRPr="00ED53AE">
        <w:rPr>
          <w:szCs w:val="24"/>
        </w:rPr>
        <w:t xml:space="preserve"> </w:t>
      </w:r>
      <w:r w:rsidR="00854821" w:rsidRPr="00ED53AE">
        <w:rPr>
          <w:szCs w:val="24"/>
        </w:rPr>
        <w:t>Likumprojekta 60. panta trešā daļa paredz Komisijas tiesības pilnvarot citu personu pēc citas dalībvalsts uzraudzības institūcijas lūguma veikt vai sniegt atļauju veikt informācijas patiesuma pārbaudi par šā panta pirmajā daļā Latvijas Republikā reģistrētām sabiedrībām.  Saskaņā ar Valsts pārvaldes iekārtas likuma 41. panta trešās daļas 5. punktu privātpersonai nevar deleģēt pārvaldes uzdevumus, kuri pēc savas būtības ir valsts pārvaldes funkcijas pamats un kurus drīkst veikt tikai iestādes. Vēršam uzmanību, ka, lai arī likumprojektā tā ir nosaukta par atļaujas sniegšanu, tā pēc būtības ir valsts uzdevuma nodošana citai personai. Papildus norādām, ka Komisijas tiesības pilnvarot citu personu veikt noteiktas darbības ietvertas arī likumprojekta 62. panta trešajā daļā. Ievērojot minēto, lūdzam atbilstoši precizēt likumprojektu.</w:t>
      </w:r>
    </w:p>
    <w:p w14:paraId="53F89C3C" w14:textId="3650AB7A" w:rsidR="00854821" w:rsidRPr="00ED53AE" w:rsidRDefault="00854821" w:rsidP="00436F9A">
      <w:pPr>
        <w:ind w:firstLine="567"/>
        <w:rPr>
          <w:szCs w:val="24"/>
        </w:rPr>
      </w:pPr>
      <w:r w:rsidRPr="00ED53AE">
        <w:rPr>
          <w:szCs w:val="24"/>
        </w:rPr>
        <w:t>2</w:t>
      </w:r>
      <w:r w:rsidR="00274BC2" w:rsidRPr="00ED53AE">
        <w:rPr>
          <w:szCs w:val="24"/>
        </w:rPr>
        <w:t>9</w:t>
      </w:r>
      <w:r w:rsidRPr="00ED53AE">
        <w:rPr>
          <w:szCs w:val="24"/>
        </w:rPr>
        <w:t>. Lūdzam izvērtēt likumprojekta XII nodaļas nosaukumu, jo no tā nav saprotams, kas tajā tiks ietverts. To, kas ir administratīvie akti un kā tos apstrīd un pārsūdz, regulē Administratīvā procesa likums, tāpēc šāds regulējums likumprojektā nav jāiekļauj, jo tam nav juridiskās slodzes. Piemēram, likumprojekta 66. pants noteic, ka Komisijas izdotos administratīvos aktus var pārsūdzēt Administratīvā procesa likumā noteiktajā kārtībā. Šāda norāde ir lieka, jo tas vispārīgi jau izriet no Administratīvā procesa likumā ietvertā regulējuma. Ievērojot minēto, lūdzam izvērtēt likumprojekta XII nodaļu un tajā ietverto regulējumu un precizēt likumprojektu.</w:t>
      </w:r>
    </w:p>
    <w:p w14:paraId="13DDCF59" w14:textId="28CFAE74" w:rsidR="00854821" w:rsidRPr="00ED53AE" w:rsidRDefault="00274BC2" w:rsidP="00436F9A">
      <w:pPr>
        <w:ind w:firstLine="567"/>
        <w:rPr>
          <w:szCs w:val="24"/>
        </w:rPr>
      </w:pPr>
      <w:r w:rsidRPr="00ED53AE">
        <w:rPr>
          <w:szCs w:val="24"/>
        </w:rPr>
        <w:t>30</w:t>
      </w:r>
      <w:r w:rsidR="00854821" w:rsidRPr="00ED53AE">
        <w:rPr>
          <w:szCs w:val="24"/>
        </w:rPr>
        <w:t xml:space="preserve">. Likumprojekta 66. panta trešās daļas 2. punkts dublē Administratīvā procesa likuma 185. panta ceturtās daļas 10. punktu, tāpēc atbilstoši noteikumu Nr. 108 3.2. apakšpunktam </w:t>
      </w:r>
      <w:r w:rsidR="00854821" w:rsidRPr="00ED53AE">
        <w:rPr>
          <w:szCs w:val="24"/>
        </w:rPr>
        <w:lastRenderedPageBreak/>
        <w:t>lūdzam to izslēgt.</w:t>
      </w:r>
    </w:p>
    <w:p w14:paraId="73EC9CE8" w14:textId="42645150" w:rsidR="00854821" w:rsidRPr="00ED53AE" w:rsidRDefault="00274BC2" w:rsidP="00436F9A">
      <w:pPr>
        <w:ind w:firstLine="567"/>
        <w:rPr>
          <w:szCs w:val="24"/>
        </w:rPr>
      </w:pPr>
      <w:r w:rsidRPr="00ED53AE">
        <w:rPr>
          <w:szCs w:val="24"/>
        </w:rPr>
        <w:t>31</w:t>
      </w:r>
      <w:r w:rsidR="00854821" w:rsidRPr="00ED53AE">
        <w:rPr>
          <w:szCs w:val="24"/>
        </w:rPr>
        <w:t>. Likumprojekta 67. panta pirmajā daļā ietvertas Komisijas tiesības veikt noteiktas darbības, kurām lietots apzīmējums "</w:t>
      </w:r>
      <w:r w:rsidR="00854821" w:rsidRPr="00ED53AE">
        <w:rPr>
          <w:i/>
          <w:iCs/>
          <w:szCs w:val="24"/>
        </w:rPr>
        <w:t>sankcijas</w:t>
      </w:r>
      <w:r w:rsidR="00854821" w:rsidRPr="00ED53AE">
        <w:rPr>
          <w:szCs w:val="24"/>
        </w:rPr>
        <w:t>", par tās izdoto normatīvo noteikumu vai pieņemto lēmumu pārkāpumiem. Vēršam uzmanību, ka likumprojektā nav nošķirtas sodoša (krimināltiesiska) rakstura administratīvās sankcijas no citiem pasākumiem (uzraudzības pasākumiem). Nav skaidrs, kāpēc konkrētais pasākums, piemēram, publisks paziņojums (likumprojekta 67. panta pirmās daļas 1. punkts) vai pieprasījums pārtraukt prettiesiskās darbības (likumprojekta 67. panta pirmās daļas 12 punkts) ir sankcija, tāpēc lūdzam papildināt anotāciju ar skaidriem klasifikācijas kritērijiem. Vienlaikus lūdzam skaidrot, vai izmantotais iedalījums atbilst citos nozares likumos esošajam iedalījumam.</w:t>
      </w:r>
    </w:p>
    <w:p w14:paraId="2A5C158F" w14:textId="1D90343E" w:rsidR="00436F9A" w:rsidRPr="00ED53AE" w:rsidRDefault="00274BC2" w:rsidP="00436F9A">
      <w:pPr>
        <w:pStyle w:val="NoSpacing"/>
        <w:ind w:firstLine="567"/>
        <w:rPr>
          <w:szCs w:val="24"/>
        </w:rPr>
      </w:pPr>
      <w:r w:rsidRPr="00ED53AE">
        <w:rPr>
          <w:szCs w:val="24"/>
        </w:rPr>
        <w:t>3</w:t>
      </w:r>
      <w:r w:rsidR="00854821" w:rsidRPr="00ED53AE">
        <w:rPr>
          <w:szCs w:val="24"/>
        </w:rPr>
        <w:t xml:space="preserve">2. </w:t>
      </w:r>
      <w:r w:rsidR="00436F9A" w:rsidRPr="00ED53AE">
        <w:rPr>
          <w:szCs w:val="24"/>
        </w:rPr>
        <w:t>Likumprojektā nav ietverts procesuālais regulējums un materiālie priekšnoteikumi (piem., noilgums, sodāmība). Likumprojektā vajadzētu būt noteiktam noilgumam, atbilstoši noformulētiem pārkāpumiem un sodiem (sankcijām), ievērojot administratīvo pārkāpumu formulēšanas kritērijus. Nav pieļaujams, ka pārkāpumi ir vispārīgi, proti, par normatīvo aktu vai lēmumu pārkāpumiem, vai sankcijas nenoteiktas (nav ierobežotas laikā, var izpausties dažādos veidos u.tml.). Nav skaidrs, kāda būs procesuālā kārtība likumprojekta 67. panta pirmās daļas 2. punktā ietvertajam pieprasījumam, vai uz kādu laiku varēs noteikt likumprojekta 67. panta pirmās daļas 3. punktā ietverto pagaidu aizliegumu.</w:t>
      </w:r>
    </w:p>
    <w:p w14:paraId="29B3E232" w14:textId="51CBC033" w:rsidR="00436F9A" w:rsidRPr="00ED53AE" w:rsidRDefault="00436F9A" w:rsidP="00B35E27">
      <w:pPr>
        <w:pStyle w:val="NoSpacing"/>
        <w:ind w:firstLine="567"/>
        <w:rPr>
          <w:szCs w:val="24"/>
        </w:rPr>
      </w:pPr>
      <w:r w:rsidRPr="00ED53AE">
        <w:rPr>
          <w:szCs w:val="24"/>
        </w:rPr>
        <w:t>Vienlaikus vēršam uzmanību, ja paredzēts minētās sankcijas piemērot Administratīvā procesa likuma ietvaros, tad neatkarīgi no likumprojektā ietvertā procesuālā regulējuma, netiek pienācīgi noregulēts sankciju piemērošanas process. Tieslietu ministrijas ieskatā nav atbalstāma pasākumu, kas būtībā ir sods, ieviešana ārpus administratīvās atbildības vai kriminālatbildības sistēmas. Administratīvā procesa likuma regulējums tam nav piemērots. Administratīvajā procesā piemērojamu pasākumu mērķim nedrīkst piemist represīvas (sodošas) iezīmes un tā bardzība nevar būt tāda, lai to pašu par sevi jau varētu uzskatīt par sodu.</w:t>
      </w:r>
    </w:p>
    <w:p w14:paraId="10994A35" w14:textId="416CA4D8" w:rsidR="004D2929" w:rsidRPr="00ED53AE" w:rsidRDefault="004D2929" w:rsidP="004D2929">
      <w:pPr>
        <w:ind w:firstLine="567"/>
        <w:rPr>
          <w:szCs w:val="24"/>
        </w:rPr>
      </w:pPr>
      <w:r w:rsidRPr="00ED53AE">
        <w:rPr>
          <w:szCs w:val="24"/>
        </w:rPr>
        <w:t>3</w:t>
      </w:r>
      <w:r w:rsidR="00274BC2" w:rsidRPr="00ED53AE">
        <w:rPr>
          <w:szCs w:val="24"/>
        </w:rPr>
        <w:t>3</w:t>
      </w:r>
      <w:r w:rsidRPr="00ED53AE">
        <w:rPr>
          <w:szCs w:val="24"/>
        </w:rPr>
        <w:t xml:space="preserve">. Likumprojekta 71. panta ceturtā daļa </w:t>
      </w:r>
      <w:r w:rsidR="00735FD5" w:rsidRPr="00ED53AE">
        <w:rPr>
          <w:szCs w:val="24"/>
        </w:rPr>
        <w:t xml:space="preserve">un 72. panta ceturtā daļa paredz, ka </w:t>
      </w:r>
      <w:r w:rsidR="00D17BE5" w:rsidRPr="00ED53AE">
        <w:rPr>
          <w:szCs w:val="24"/>
        </w:rPr>
        <w:t>tad, j</w:t>
      </w:r>
      <w:r w:rsidR="001403F2" w:rsidRPr="00ED53AE">
        <w:rPr>
          <w:szCs w:val="24"/>
        </w:rPr>
        <w:t xml:space="preserve">a ieguldījumu brokeru sabiedrības klients desmit gadu laikā no brīža, kad naudas līdzekļi un finanšu instrumenti nodoti kredītiestādei vai citai ieguldījumu brokeru sabiedrībai, nav izņēmis naudas līdzekļus un finanšu instrumentus, kas tam pienākas, tas zaudē prasījuma tiesības uz tiem. Tāpat šīs normas paredz, ka </w:t>
      </w:r>
      <w:r w:rsidR="00735FD5" w:rsidRPr="00ED53AE">
        <w:rPr>
          <w:szCs w:val="24"/>
        </w:rPr>
        <w:t>n</w:t>
      </w:r>
      <w:r w:rsidRPr="00ED53AE">
        <w:rPr>
          <w:szCs w:val="24"/>
        </w:rPr>
        <w:t>audas līdzekļi</w:t>
      </w:r>
      <w:r w:rsidR="00735FD5" w:rsidRPr="00ED53AE">
        <w:rPr>
          <w:szCs w:val="24"/>
        </w:rPr>
        <w:t xml:space="preserve"> un finanšu instrumenti,</w:t>
      </w:r>
      <w:r w:rsidRPr="00ED53AE">
        <w:rPr>
          <w:szCs w:val="24"/>
        </w:rPr>
        <w:t xml:space="preserve"> kuri pienākas ieguldījumu brokeru sabiedrības klientiem un attiecībā uz kuriem iestājies noilgums, piekrīt valstij kā bezīpašnieka manta.</w:t>
      </w:r>
    </w:p>
    <w:p w14:paraId="2E79D325" w14:textId="065FB434" w:rsidR="00ED53AE" w:rsidRPr="00ED53AE" w:rsidRDefault="00D17BE5" w:rsidP="001403F2">
      <w:pPr>
        <w:ind w:firstLine="567"/>
        <w:rPr>
          <w:szCs w:val="24"/>
        </w:rPr>
      </w:pPr>
      <w:r w:rsidRPr="00ED53AE">
        <w:rPr>
          <w:szCs w:val="24"/>
        </w:rPr>
        <w:t xml:space="preserve">Norādām, ka </w:t>
      </w:r>
      <w:r w:rsidR="001403F2" w:rsidRPr="00ED53AE">
        <w:rPr>
          <w:szCs w:val="24"/>
        </w:rPr>
        <w:t xml:space="preserve">Civillikuma </w:t>
      </w:r>
      <w:r w:rsidR="00BE3387" w:rsidRPr="00ED53AE">
        <w:rPr>
          <w:szCs w:val="24"/>
        </w:rPr>
        <w:t xml:space="preserve">930. pants paredz bezīpašnieka </w:t>
      </w:r>
      <w:r w:rsidR="00BE3387" w:rsidRPr="00ED53AE">
        <w:rPr>
          <w:i/>
          <w:iCs/>
          <w:szCs w:val="24"/>
        </w:rPr>
        <w:t>lietas</w:t>
      </w:r>
      <w:r w:rsidR="00BE3387" w:rsidRPr="00ED53AE">
        <w:rPr>
          <w:szCs w:val="24"/>
        </w:rPr>
        <w:t xml:space="preserve"> institūtu, tāpēc lūdzam precizēt normas, nosakot, ka naudas līdzekļi un finanšu instrumenti piekrīt valstij kā bezīpašnieka </w:t>
      </w:r>
      <w:r w:rsidR="00BE3387" w:rsidRPr="00ED53AE">
        <w:rPr>
          <w:i/>
          <w:iCs/>
          <w:szCs w:val="24"/>
        </w:rPr>
        <w:t>lietas.</w:t>
      </w:r>
      <w:r w:rsidR="00ED53AE" w:rsidRPr="00ED53AE">
        <w:rPr>
          <w:i/>
          <w:iCs/>
          <w:szCs w:val="24"/>
        </w:rPr>
        <w:t xml:space="preserve"> </w:t>
      </w:r>
      <w:r w:rsidR="00ED53AE" w:rsidRPr="00ED53AE">
        <w:rPr>
          <w:szCs w:val="24"/>
        </w:rPr>
        <w:t>Vienlaikus lūdzam skaidrot, vai naudas līdzekļus un finanšu instrumentus 10 gadu laikā būs tiesīgi ir izņemt arī brokeru sabiedrības klienta mantinieki vai saistību un tiesību pārņēmēji. Lūdzam izvērtēt nepieciešamību papildināt anotāciju ar skaidrojumu un nepieciešamības gadījumā precizēt arī tiesību normas, ja normas neaptver klienta mantiniekus vai saistību un tiesību pārņēmējus.</w:t>
      </w:r>
    </w:p>
    <w:p w14:paraId="08108478" w14:textId="3DB82D62" w:rsidR="001D0634" w:rsidRPr="00ED53AE" w:rsidRDefault="00274BC2" w:rsidP="00D17BE5">
      <w:pPr>
        <w:ind w:firstLine="567"/>
        <w:rPr>
          <w:szCs w:val="24"/>
        </w:rPr>
      </w:pPr>
      <w:r w:rsidRPr="00ED53AE">
        <w:rPr>
          <w:szCs w:val="24"/>
        </w:rPr>
        <w:t xml:space="preserve">34. Tāpat norādām, ka likumprojekta 71. panta ceturtā daļa un 72. panta ceturtā daļa nosaka to, ka naudas līdzekļi un finanšu instrumenti, kuri pienākas ieguldījumu brokeru sabiedrības klientiem un attiecībā uz kuriem iestājies noilgums, piekrīt valstij kā </w:t>
      </w:r>
      <w:r w:rsidR="00936D83" w:rsidRPr="00ED53AE">
        <w:rPr>
          <w:szCs w:val="24"/>
        </w:rPr>
        <w:t>bezīpašnieka lieta</w:t>
      </w:r>
      <w:r w:rsidRPr="00ED53AE">
        <w:rPr>
          <w:szCs w:val="24"/>
        </w:rPr>
        <w:t xml:space="preserve">, taču likumprojekts nav paredzējis kārtību, kādā valsts šo </w:t>
      </w:r>
      <w:r w:rsidR="00936D83" w:rsidRPr="00ED53AE">
        <w:rPr>
          <w:szCs w:val="24"/>
        </w:rPr>
        <w:t>bezīpašnieka lietu</w:t>
      </w:r>
      <w:r w:rsidRPr="00ED53AE">
        <w:rPr>
          <w:szCs w:val="24"/>
        </w:rPr>
        <w:t xml:space="preserve"> pārņem. </w:t>
      </w:r>
      <w:r w:rsidR="00936D83" w:rsidRPr="00ED53AE">
        <w:rPr>
          <w:szCs w:val="24"/>
        </w:rPr>
        <w:t xml:space="preserve">Proti, </w:t>
      </w:r>
      <w:r w:rsidR="00CC1030" w:rsidRPr="00ED53AE">
        <w:rPr>
          <w:szCs w:val="24"/>
        </w:rPr>
        <w:t>nav paredzēts mehānisms, kā valsts var uzzināt par šādas bezmantinieka mantas esamību</w:t>
      </w:r>
      <w:r w:rsidR="00936D83" w:rsidRPr="00ED53AE">
        <w:rPr>
          <w:szCs w:val="24"/>
        </w:rPr>
        <w:t xml:space="preserve"> un kā būtu jārīkojas kredītiestādei pēc noilguma iestāšanās</w:t>
      </w:r>
      <w:r w:rsidR="00CC1030" w:rsidRPr="00ED53AE">
        <w:rPr>
          <w:szCs w:val="24"/>
        </w:rPr>
        <w:t xml:space="preserve">. </w:t>
      </w:r>
    </w:p>
    <w:p w14:paraId="1F482F1C" w14:textId="12C8129D" w:rsidR="00274BC2" w:rsidRPr="00ED53AE" w:rsidRDefault="009130C6" w:rsidP="006E2973">
      <w:pPr>
        <w:ind w:firstLine="567"/>
        <w:rPr>
          <w:szCs w:val="24"/>
        </w:rPr>
      </w:pPr>
      <w:r w:rsidRPr="00ED53AE">
        <w:rPr>
          <w:szCs w:val="24"/>
        </w:rPr>
        <w:t xml:space="preserve">Norādām, ka viens no veidiem, kā veicināt </w:t>
      </w:r>
      <w:r w:rsidR="00936D83" w:rsidRPr="00ED53AE">
        <w:rPr>
          <w:szCs w:val="24"/>
        </w:rPr>
        <w:t>bezīpašnieka lietas</w:t>
      </w:r>
      <w:r w:rsidRPr="00ED53AE">
        <w:rPr>
          <w:szCs w:val="24"/>
        </w:rPr>
        <w:t xml:space="preserve"> pārņemšanu, ir paredzēt subjektam, kura pārziņā ir šāda </w:t>
      </w:r>
      <w:r w:rsidR="00936D83" w:rsidRPr="00ED53AE">
        <w:rPr>
          <w:szCs w:val="24"/>
        </w:rPr>
        <w:t>bezīpašnieka lieta</w:t>
      </w:r>
      <w:r w:rsidRPr="00ED53AE">
        <w:rPr>
          <w:szCs w:val="24"/>
        </w:rPr>
        <w:t>, pienākumu par to paziņot konkrētai valsts i</w:t>
      </w:r>
      <w:r w:rsidR="00FA3470" w:rsidRPr="00ED53AE">
        <w:rPr>
          <w:szCs w:val="24"/>
        </w:rPr>
        <w:t>nstitūcijai</w:t>
      </w:r>
      <w:r w:rsidRPr="00ED53AE">
        <w:rPr>
          <w:szCs w:val="24"/>
        </w:rPr>
        <w:t>, līdzīgi kā to paredz pašlaik Saeimā skatītais likumprojekts “Grozījumi Kredītiestāžu likumā”.</w:t>
      </w:r>
      <w:r w:rsidRPr="00ED53AE">
        <w:rPr>
          <w:rStyle w:val="FootnoteReference"/>
          <w:szCs w:val="24"/>
        </w:rPr>
        <w:footnoteReference w:id="6"/>
      </w:r>
      <w:r w:rsidRPr="00ED53AE">
        <w:rPr>
          <w:szCs w:val="24"/>
        </w:rPr>
        <w:t xml:space="preserve"> Ņemot vērā minēto, lūdzam precizēt likumprojektu, paredzot kārtību, kādā valsts </w:t>
      </w:r>
      <w:r w:rsidRPr="00ED53AE">
        <w:rPr>
          <w:szCs w:val="24"/>
        </w:rPr>
        <w:lastRenderedPageBreak/>
        <w:t xml:space="preserve">pārņem šādu </w:t>
      </w:r>
      <w:r w:rsidR="00936D83" w:rsidRPr="00ED53AE">
        <w:rPr>
          <w:szCs w:val="24"/>
        </w:rPr>
        <w:t>bezīpašnieka lietu</w:t>
      </w:r>
      <w:r w:rsidRPr="00ED53AE">
        <w:rPr>
          <w:szCs w:val="24"/>
        </w:rPr>
        <w:t>.</w:t>
      </w:r>
    </w:p>
    <w:p w14:paraId="522C966F" w14:textId="4D8DB055" w:rsidR="000A26C5" w:rsidRPr="00ED53AE" w:rsidRDefault="00436F9A" w:rsidP="00ED53AE">
      <w:pPr>
        <w:pStyle w:val="NoSpacing"/>
        <w:ind w:firstLine="567"/>
        <w:rPr>
          <w:szCs w:val="24"/>
        </w:rPr>
      </w:pPr>
      <w:r w:rsidRPr="00ED53AE">
        <w:rPr>
          <w:szCs w:val="24"/>
        </w:rPr>
        <w:t>3</w:t>
      </w:r>
      <w:r w:rsidR="00C775CE" w:rsidRPr="00ED53AE">
        <w:rPr>
          <w:szCs w:val="24"/>
        </w:rPr>
        <w:t>5</w:t>
      </w:r>
      <w:r w:rsidRPr="00ED53AE">
        <w:rPr>
          <w:szCs w:val="24"/>
        </w:rPr>
        <w:t xml:space="preserve">. </w:t>
      </w:r>
      <w:r w:rsidR="000A26C5" w:rsidRPr="00ED53AE">
        <w:rPr>
          <w:szCs w:val="24"/>
        </w:rPr>
        <w:t>Likumprojekta 71., 72. un 74. pantā vairākkārt lietots termins “administrators”. No likumprojekta normām kopumā secināms, ka ar terminu “administrators” ir domāts Maksātnespējas likuma 9. pantā definētais maksātnespējas procesa administrators. Taču tiesiskās noteiktības un skaidrības, kā arī normatīvajos aktos konsekventas terminoloģijas lietošanas nolūkos lūdzam pārskatīt likumprojektu, tajā ietverot termina “administrators” skaidrojumu vai arī lietojot pilno nosaukumu “maksātnespējas procesa administrators”.</w:t>
      </w:r>
    </w:p>
    <w:p w14:paraId="30E237AB" w14:textId="399B2925" w:rsidR="00083130" w:rsidRPr="00ED53AE" w:rsidRDefault="000A26C5" w:rsidP="00B35E27">
      <w:pPr>
        <w:pStyle w:val="NoSpacing"/>
        <w:ind w:firstLine="567"/>
        <w:rPr>
          <w:szCs w:val="24"/>
        </w:rPr>
      </w:pPr>
      <w:r w:rsidRPr="00ED53AE">
        <w:rPr>
          <w:szCs w:val="24"/>
        </w:rPr>
        <w:t>3</w:t>
      </w:r>
      <w:r w:rsidR="00C775CE" w:rsidRPr="00ED53AE">
        <w:rPr>
          <w:szCs w:val="24"/>
        </w:rPr>
        <w:t>6</w:t>
      </w:r>
      <w:r w:rsidRPr="00ED53AE">
        <w:rPr>
          <w:szCs w:val="24"/>
        </w:rPr>
        <w:t xml:space="preserve">. </w:t>
      </w:r>
      <w:r w:rsidR="00083130" w:rsidRPr="00ED53AE">
        <w:rPr>
          <w:szCs w:val="24"/>
        </w:rPr>
        <w:t xml:space="preserve">Likumprojekta 72. panta sestā daļa paredz likvidatora vai administratora tiesības atsavināt klienta finanšu instrumentus publiskā izsolē tad, ja likvidators vai administrators nav </w:t>
      </w:r>
      <w:bookmarkStart w:id="3" w:name="_GoBack"/>
      <w:bookmarkEnd w:id="3"/>
      <w:r w:rsidR="00083130" w:rsidRPr="00ED53AE">
        <w:rPr>
          <w:szCs w:val="24"/>
        </w:rPr>
        <w:t>noslēdzis līgumu par finanšu instrumentu nodošanu kredītiestādei vai citai ieguldījumu brokeru sabiedrībai turējumā. Lai novērstu tiesību izmantošanu pretēji likumam, aicinām precizēt likumprojekta 72. panta sestās daļu, aizstājot vārdus “</w:t>
      </w:r>
      <w:r w:rsidR="00083130" w:rsidRPr="00ED53AE">
        <w:rPr>
          <w:i/>
          <w:iCs/>
          <w:szCs w:val="24"/>
        </w:rPr>
        <w:t>nav noslēdzis</w:t>
      </w:r>
      <w:r w:rsidR="00083130" w:rsidRPr="00ED53AE">
        <w:rPr>
          <w:szCs w:val="24"/>
        </w:rPr>
        <w:t>” ar vārdiem “</w:t>
      </w:r>
      <w:r w:rsidR="00083130" w:rsidRPr="00ED53AE">
        <w:rPr>
          <w:i/>
          <w:iCs/>
          <w:szCs w:val="24"/>
        </w:rPr>
        <w:t>nebija iespējams noslēgt</w:t>
      </w:r>
      <w:r w:rsidR="00083130" w:rsidRPr="00ED53AE">
        <w:rPr>
          <w:szCs w:val="24"/>
        </w:rPr>
        <w:t>”</w:t>
      </w:r>
      <w:r w:rsidR="003E7527" w:rsidRPr="00ED53AE">
        <w:rPr>
          <w:szCs w:val="24"/>
        </w:rPr>
        <w:t>.</w:t>
      </w:r>
    </w:p>
    <w:p w14:paraId="4BF5FED4" w14:textId="1086384D" w:rsidR="00B35E27" w:rsidRPr="00ED53AE" w:rsidRDefault="003E7527" w:rsidP="00B35E27">
      <w:pPr>
        <w:pStyle w:val="NoSpacing"/>
        <w:ind w:firstLine="567"/>
        <w:rPr>
          <w:szCs w:val="24"/>
        </w:rPr>
      </w:pPr>
      <w:r w:rsidRPr="00ED53AE">
        <w:rPr>
          <w:szCs w:val="24"/>
        </w:rPr>
        <w:t>3</w:t>
      </w:r>
      <w:r w:rsidR="00C775CE" w:rsidRPr="00ED53AE">
        <w:rPr>
          <w:szCs w:val="24"/>
        </w:rPr>
        <w:t>7</w:t>
      </w:r>
      <w:r w:rsidRPr="00ED53AE">
        <w:rPr>
          <w:szCs w:val="24"/>
        </w:rPr>
        <w:t xml:space="preserve">. </w:t>
      </w:r>
      <w:r w:rsidR="000A26C5" w:rsidRPr="00ED53AE">
        <w:rPr>
          <w:szCs w:val="24"/>
        </w:rPr>
        <w:t>L</w:t>
      </w:r>
      <w:r w:rsidR="00B35E27" w:rsidRPr="00ED53AE">
        <w:rPr>
          <w:szCs w:val="24"/>
        </w:rPr>
        <w:t>ikumprojektā un anotācijā vairākkārt lietots termins “maksātnespēja”, kaut arī no likumprojekta būtības, piemēram, tā 73. panta satura, secināms, ka galvenokārt</w:t>
      </w:r>
      <w:r w:rsidR="00B35E27" w:rsidRPr="00ED53AE">
        <w:rPr>
          <w:rStyle w:val="FootnoteReference"/>
          <w:szCs w:val="24"/>
        </w:rPr>
        <w:footnoteReference w:id="7"/>
      </w:r>
      <w:r w:rsidR="00B35E27" w:rsidRPr="00ED53AE">
        <w:rPr>
          <w:szCs w:val="24"/>
        </w:rPr>
        <w:t xml:space="preserve"> tiek risināti maksātnespējas procesa jautājumi. Vēršam uzmanību, ka ar terminu “maksātnespēja” tiek apzīmēts subjekta finansiālais faktiskais stāvoklis, nevis juridiski, ar tiesas nolēmumu nostiprināts juridisks un formāls process.</w:t>
      </w:r>
    </w:p>
    <w:p w14:paraId="373DD831" w14:textId="77777777" w:rsidR="00B35E27" w:rsidRPr="00ED53AE" w:rsidRDefault="00B35E27" w:rsidP="00B35E27">
      <w:pPr>
        <w:pStyle w:val="NoSpacing"/>
        <w:ind w:firstLine="567"/>
        <w:rPr>
          <w:szCs w:val="24"/>
          <w:u w:val="single"/>
        </w:rPr>
      </w:pPr>
      <w:r w:rsidRPr="00ED53AE">
        <w:rPr>
          <w:szCs w:val="24"/>
        </w:rPr>
        <w:t>Vienlaikus vēršam uzmanību, ka termins “maksātnespējas process” sevī ietver abus Maksātnespējas likumā paredzētos maksātnespējas procesu veidus – juridiskās personas maksātnespējas procesu un fiziskās personas maksātnespējas procesu. Taču, ievērojot likumprojekta 1. panta pirmās daļas 6. punktā noteikto, ka ieguldījumu brokeru sabiedrība ir kapitālsabiedrība, kas regulāri un profesionāli sniedz ieguldījumu pakalpojumus, visaptverošas norādes lietošana nav pamatota un, iespējams, veicinās aplamu interpretāciju veidošanos. Ievērojot minēto, lūdzam likumprojektā un anotācijā pārskatīt termina “maksātnespēja” lietojumu.</w:t>
      </w:r>
    </w:p>
    <w:p w14:paraId="3E8D60B5" w14:textId="65D0C1A5" w:rsidR="00B35E27" w:rsidRPr="00ED53AE" w:rsidRDefault="00B35E27" w:rsidP="000A26C5">
      <w:pPr>
        <w:pStyle w:val="NoSpacing"/>
        <w:ind w:firstLine="567"/>
        <w:rPr>
          <w:szCs w:val="24"/>
        </w:rPr>
      </w:pPr>
      <w:r w:rsidRPr="00ED53AE">
        <w:rPr>
          <w:szCs w:val="24"/>
        </w:rPr>
        <w:t>3</w:t>
      </w:r>
      <w:r w:rsidR="00C775CE" w:rsidRPr="00ED53AE">
        <w:rPr>
          <w:szCs w:val="24"/>
        </w:rPr>
        <w:t>8</w:t>
      </w:r>
      <w:r w:rsidRPr="00ED53AE">
        <w:rPr>
          <w:szCs w:val="24"/>
        </w:rPr>
        <w:t>. Papildus šī atzinuma 3</w:t>
      </w:r>
      <w:r w:rsidR="00C775CE" w:rsidRPr="00ED53AE">
        <w:rPr>
          <w:szCs w:val="24"/>
        </w:rPr>
        <w:t>7</w:t>
      </w:r>
      <w:r w:rsidRPr="00ED53AE">
        <w:rPr>
          <w:szCs w:val="24"/>
        </w:rPr>
        <w:t>. punktā norādītajam, lūdzam precizēt likumprojekta 35. panta 3. punktā lietoto terminoloģiju, ievērojot Civilprocesa likumā</w:t>
      </w:r>
      <w:r w:rsidRPr="00ED53AE">
        <w:rPr>
          <w:rStyle w:val="FootnoteReference"/>
          <w:szCs w:val="24"/>
        </w:rPr>
        <w:footnoteReference w:id="8"/>
      </w:r>
      <w:r w:rsidRPr="00ED53AE">
        <w:rPr>
          <w:szCs w:val="24"/>
        </w:rPr>
        <w:t xml:space="preserve"> lietoto terminoloģiju. </w:t>
      </w:r>
    </w:p>
    <w:p w14:paraId="788B26BC" w14:textId="14A1BE58" w:rsidR="00675E1D" w:rsidRPr="00ED53AE" w:rsidRDefault="001C7E26" w:rsidP="00675E1D">
      <w:pPr>
        <w:pStyle w:val="NoSpacing"/>
        <w:ind w:firstLine="567"/>
        <w:rPr>
          <w:szCs w:val="24"/>
        </w:rPr>
      </w:pPr>
      <w:r w:rsidRPr="00ED53AE">
        <w:rPr>
          <w:szCs w:val="24"/>
        </w:rPr>
        <w:t>3</w:t>
      </w:r>
      <w:r w:rsidR="00C775CE" w:rsidRPr="00ED53AE">
        <w:rPr>
          <w:szCs w:val="24"/>
        </w:rPr>
        <w:t>9</w:t>
      </w:r>
      <w:r w:rsidRPr="00ED53AE">
        <w:rPr>
          <w:szCs w:val="24"/>
        </w:rPr>
        <w:t xml:space="preserve">. </w:t>
      </w:r>
      <w:r w:rsidR="00675E1D" w:rsidRPr="00ED53AE">
        <w:rPr>
          <w:szCs w:val="24"/>
        </w:rPr>
        <w:t>Attiecībā uz likumprojekta 73. panta trešajā daļā noteikto saistībā ar atsauci uz Maksātnespējas likumu, norādām turpmāko. Maksātnespējas likuma 2. panta ceturtajā daļā noteikts: “</w:t>
      </w:r>
      <w:r w:rsidR="00675E1D" w:rsidRPr="00ED53AE">
        <w:rPr>
          <w:i/>
          <w:iCs/>
          <w:szCs w:val="24"/>
        </w:rPr>
        <w:t>Uz to finanšu un kapitāla tirgus dalībnieku maksātnespējas procesu, kuru darbības uzraudzību saskaņā ar normatīvo aktu prasībām veic Finanšu un kapitāla tirgus komisija, attiecināmi šā likuma noteikumi, ciktāl finanšu un kapitāla tirgus dalībnieku darbību reglamentējošajās speciālajās tiesību normās nav noteikts citādi</w:t>
      </w:r>
      <w:r w:rsidR="00675E1D" w:rsidRPr="00ED53AE">
        <w:rPr>
          <w:szCs w:val="24"/>
        </w:rPr>
        <w:t>.” Ieguldījumu brokeru sabiedrības ir finanšu un kapitāla tirgus dalībnieki</w:t>
      </w:r>
      <w:r w:rsidR="00675E1D" w:rsidRPr="00ED53AE">
        <w:rPr>
          <w:rStyle w:val="FootnoteReference"/>
          <w:szCs w:val="24"/>
        </w:rPr>
        <w:footnoteReference w:id="9"/>
      </w:r>
      <w:r w:rsidR="00675E1D" w:rsidRPr="00ED53AE">
        <w:rPr>
          <w:szCs w:val="24"/>
        </w:rPr>
        <w:t xml:space="preserve"> un to darbību uzrauga Komisija</w:t>
      </w:r>
      <w:r w:rsidR="00675E1D" w:rsidRPr="00ED53AE">
        <w:rPr>
          <w:rStyle w:val="FootnoteReference"/>
          <w:szCs w:val="24"/>
        </w:rPr>
        <w:footnoteReference w:id="10"/>
      </w:r>
      <w:r w:rsidR="00675E1D" w:rsidRPr="00ED53AE">
        <w:rPr>
          <w:szCs w:val="24"/>
        </w:rPr>
        <w:t>, turklāt likumprojekta 3. pants noteic, ka tieši likumprojekts regulē ieguldījumu brokeru sabiedrības darbību visdažādākajos aspektos. Līdz ar to secināms, ka likumprojekta 73. panta trešā daļa daļēji dublē Maksātnespējas likuma 2. panta ceturtajā daļā noteikto.</w:t>
      </w:r>
    </w:p>
    <w:p w14:paraId="0D59E3E0" w14:textId="793EA434" w:rsidR="00675E1D" w:rsidRPr="00ED53AE" w:rsidRDefault="00675E1D" w:rsidP="00675E1D">
      <w:pPr>
        <w:pStyle w:val="NoSpacing"/>
        <w:ind w:firstLine="720"/>
        <w:rPr>
          <w:szCs w:val="24"/>
        </w:rPr>
      </w:pPr>
      <w:r w:rsidRPr="00ED53AE">
        <w:rPr>
          <w:szCs w:val="24"/>
        </w:rPr>
        <w:t>Atbilstoši noteikumu Nr. 108 3.2. apakšpunktam normatīvā akta projektā neietver normas, kas dublē tāda paša spēka normatīvā akta tiesību normās ietverto normatīvo regulējumu. Ievērojot minēto, lūdzam pārskatīt likumprojekta 73. panta trešo daļu saistībā ar atsauci uz Maksātnespējas likumu.</w:t>
      </w:r>
    </w:p>
    <w:p w14:paraId="4ABDEF6E" w14:textId="551CCC3A" w:rsidR="00F633E6" w:rsidRPr="00ED53AE" w:rsidRDefault="00C775CE" w:rsidP="00F633E6">
      <w:pPr>
        <w:pStyle w:val="NoSpacing"/>
        <w:widowControl/>
        <w:ind w:firstLine="720"/>
        <w:rPr>
          <w:rFonts w:eastAsiaTheme="minorHAnsi"/>
          <w:bCs/>
          <w:szCs w:val="24"/>
        </w:rPr>
      </w:pPr>
      <w:r w:rsidRPr="00ED53AE">
        <w:rPr>
          <w:szCs w:val="24"/>
        </w:rPr>
        <w:t>40</w:t>
      </w:r>
      <w:r w:rsidR="00402F31" w:rsidRPr="00ED53AE">
        <w:rPr>
          <w:szCs w:val="24"/>
        </w:rPr>
        <w:t xml:space="preserve">. </w:t>
      </w:r>
      <w:r w:rsidR="00F633E6" w:rsidRPr="00ED53AE">
        <w:rPr>
          <w:szCs w:val="24"/>
        </w:rPr>
        <w:t>Likumprojekta 73. panta ceturtā daļa paredz, ka "</w:t>
      </w:r>
      <w:r w:rsidR="00F633E6" w:rsidRPr="00ED53AE">
        <w:rPr>
          <w:bCs/>
          <w:i/>
          <w:iCs/>
          <w:szCs w:val="24"/>
        </w:rPr>
        <w:t xml:space="preserve">Ieguldījumu brokeru sabiedrības maksātnespējas pieteikums tiek iesniegts tikai ar </w:t>
      </w:r>
      <w:r w:rsidR="00F633E6" w:rsidRPr="00ED53AE">
        <w:rPr>
          <w:i/>
          <w:iCs/>
          <w:szCs w:val="24"/>
        </w:rPr>
        <w:t xml:space="preserve">Finanšu un kapitāla tirgus komisijas </w:t>
      </w:r>
      <w:r w:rsidR="00F633E6" w:rsidRPr="00ED53AE">
        <w:rPr>
          <w:bCs/>
          <w:i/>
          <w:iCs/>
          <w:szCs w:val="24"/>
        </w:rPr>
        <w:t>piekrišanu</w:t>
      </w:r>
      <w:r w:rsidR="00F633E6" w:rsidRPr="00ED53AE">
        <w:rPr>
          <w:bCs/>
          <w:szCs w:val="24"/>
        </w:rPr>
        <w:t xml:space="preserve">". </w:t>
      </w:r>
      <w:r w:rsidR="00F633E6" w:rsidRPr="00ED53AE">
        <w:rPr>
          <w:szCs w:val="24"/>
        </w:rPr>
        <w:t>Likumprojekta 73. panta piektā daļa paredz, ka "</w:t>
      </w:r>
      <w:r w:rsidR="00F633E6" w:rsidRPr="00ED53AE">
        <w:rPr>
          <w:i/>
          <w:iCs/>
          <w:szCs w:val="24"/>
        </w:rPr>
        <w:t>p</w:t>
      </w:r>
      <w:r w:rsidR="00F633E6" w:rsidRPr="00ED53AE">
        <w:rPr>
          <w:bCs/>
          <w:i/>
          <w:iCs/>
          <w:szCs w:val="24"/>
        </w:rPr>
        <w:t>ret ieguldījumu brokeru sabiedrību, attiecībā uz kuru</w:t>
      </w:r>
      <w:r w:rsidR="00F633E6" w:rsidRPr="00ED53AE">
        <w:rPr>
          <w:i/>
          <w:iCs/>
          <w:szCs w:val="24"/>
        </w:rPr>
        <w:t xml:space="preserve"> Finanšu un kapitāla tirgus</w:t>
      </w:r>
      <w:r w:rsidR="00F633E6" w:rsidRPr="00ED53AE">
        <w:rPr>
          <w:bCs/>
          <w:i/>
          <w:iCs/>
          <w:szCs w:val="24"/>
        </w:rPr>
        <w:t xml:space="preserve"> komisija ir pieņēmusi lēmumu par turpmāko rīcību saskaņā </w:t>
      </w:r>
      <w:r w:rsidR="00F633E6" w:rsidRPr="00ED53AE">
        <w:rPr>
          <w:bCs/>
          <w:i/>
          <w:iCs/>
          <w:szCs w:val="24"/>
        </w:rPr>
        <w:lastRenderedPageBreak/>
        <w:t>ar </w:t>
      </w:r>
      <w:hyperlink r:id="rId8" w:tgtFrame="_blank" w:history="1">
        <w:r w:rsidR="00F633E6" w:rsidRPr="00ED53AE">
          <w:rPr>
            <w:rStyle w:val="Hyperlink"/>
            <w:bCs/>
            <w:i/>
            <w:iCs/>
            <w:color w:val="auto"/>
            <w:szCs w:val="24"/>
          </w:rPr>
          <w:t>Kredītiestāžu un ieguldījumu brokeru sabiedrību darbības atjaunošanas un noregulējuma likumā</w:t>
        </w:r>
      </w:hyperlink>
      <w:r w:rsidR="00F633E6" w:rsidRPr="00ED53AE">
        <w:rPr>
          <w:bCs/>
          <w:i/>
          <w:iCs/>
          <w:szCs w:val="24"/>
        </w:rPr>
        <w:t xml:space="preserve"> noteikto kārtību, maksātnespējas procesu tiesa var ierosināt, tikai pamatojoties uz </w:t>
      </w:r>
      <w:r w:rsidR="00F633E6" w:rsidRPr="00ED53AE">
        <w:rPr>
          <w:i/>
          <w:iCs/>
          <w:szCs w:val="24"/>
        </w:rPr>
        <w:t>Finanšu un kapitāla tirgus</w:t>
      </w:r>
      <w:r w:rsidR="00F633E6" w:rsidRPr="00ED53AE">
        <w:rPr>
          <w:bCs/>
          <w:i/>
          <w:iCs/>
          <w:szCs w:val="24"/>
        </w:rPr>
        <w:t xml:space="preserve"> komisijas pieteikumu</w:t>
      </w:r>
      <w:r w:rsidR="00F633E6" w:rsidRPr="00ED53AE">
        <w:rPr>
          <w:bCs/>
          <w:szCs w:val="24"/>
        </w:rPr>
        <w:t>". Savukārt likumprojekta 73. panta sestā un septītā daļa paredz, ka "</w:t>
      </w:r>
      <w:r w:rsidR="00F633E6" w:rsidRPr="00ED53AE">
        <w:rPr>
          <w:bCs/>
          <w:i/>
          <w:iCs/>
          <w:szCs w:val="24"/>
        </w:rPr>
        <w:t xml:space="preserve">tiesa, saņemot ieguldījumu brokeru sabiedrības maksātnespējas pieteikumu, nekavējoties par to informē </w:t>
      </w:r>
      <w:r w:rsidR="00F633E6" w:rsidRPr="00ED53AE">
        <w:rPr>
          <w:i/>
          <w:iCs/>
          <w:szCs w:val="24"/>
        </w:rPr>
        <w:t xml:space="preserve">Finanšu un kapitāla tirgus komisiju </w:t>
      </w:r>
      <w:r w:rsidR="00F633E6" w:rsidRPr="00ED53AE">
        <w:rPr>
          <w:bCs/>
          <w:i/>
          <w:iCs/>
          <w:szCs w:val="24"/>
        </w:rPr>
        <w:t>neatkarīgi no tā, vai ieguldījumu brokeru sabiedrībai tiek piemērots noregulējums vai ir publiskots lēmums saskaņā ar </w:t>
      </w:r>
      <w:hyperlink r:id="rId9" w:tgtFrame="_blank" w:history="1">
        <w:r w:rsidR="00F633E6" w:rsidRPr="00ED53AE">
          <w:rPr>
            <w:rStyle w:val="Hyperlink"/>
            <w:bCs/>
            <w:i/>
            <w:iCs/>
            <w:color w:val="auto"/>
            <w:szCs w:val="24"/>
          </w:rPr>
          <w:t>Kredītiestāžu un ieguldījumu brokeru sabiedrību darbības atjaunošanas un noregulējuma likumā</w:t>
        </w:r>
      </w:hyperlink>
      <w:r w:rsidR="00F633E6" w:rsidRPr="00ED53AE">
        <w:rPr>
          <w:bCs/>
          <w:i/>
          <w:iCs/>
          <w:szCs w:val="24"/>
        </w:rPr>
        <w:t xml:space="preserve"> noteikto kārtība. </w:t>
      </w:r>
      <w:r w:rsidR="00F633E6" w:rsidRPr="00ED53AE">
        <w:rPr>
          <w:rFonts w:eastAsiaTheme="minorHAnsi"/>
          <w:bCs/>
          <w:i/>
          <w:iCs/>
          <w:szCs w:val="24"/>
        </w:rPr>
        <w:t xml:space="preserve">Pēc šā panta sestajā daļā noteiktā informēšanas pienākuma izpildes tiesa var izskatīt maksātnespējas pieteikumu, ja </w:t>
      </w:r>
      <w:bookmarkStart w:id="4" w:name="_Hlk66873451"/>
      <w:r w:rsidR="00F633E6" w:rsidRPr="00ED53AE">
        <w:rPr>
          <w:i/>
          <w:iCs/>
          <w:szCs w:val="24"/>
        </w:rPr>
        <w:t>Finanšu un kapitāla tirgus</w:t>
      </w:r>
      <w:r w:rsidR="00F633E6" w:rsidRPr="00ED53AE">
        <w:rPr>
          <w:bCs/>
          <w:i/>
          <w:iCs/>
          <w:szCs w:val="24"/>
        </w:rPr>
        <w:t xml:space="preserve"> komisiju </w:t>
      </w:r>
      <w:bookmarkEnd w:id="4"/>
      <w:r w:rsidR="00F633E6" w:rsidRPr="00ED53AE">
        <w:rPr>
          <w:rFonts w:eastAsiaTheme="minorHAnsi"/>
          <w:bCs/>
          <w:i/>
          <w:iCs/>
          <w:szCs w:val="24"/>
        </w:rPr>
        <w:t>ir paziņojusi tiesai, ka tā neplāno veikt noregulējuma darbības attiecībā uz ieguldījumu brokeru sabiedrību, vai tā nav septiņu dienu laikā sniegusi atbildi tiesai</w:t>
      </w:r>
      <w:r w:rsidR="00F633E6" w:rsidRPr="00ED53AE">
        <w:rPr>
          <w:rFonts w:eastAsiaTheme="minorHAnsi"/>
          <w:bCs/>
          <w:szCs w:val="24"/>
        </w:rPr>
        <w:t xml:space="preserve">. </w:t>
      </w:r>
    </w:p>
    <w:p w14:paraId="739731F0" w14:textId="2C737BD9" w:rsidR="00F633E6" w:rsidRPr="00ED53AE" w:rsidRDefault="00F633E6" w:rsidP="00F633E6">
      <w:pPr>
        <w:pStyle w:val="BodyTextIndent"/>
        <w:spacing w:after="0"/>
        <w:ind w:left="0" w:firstLine="720"/>
        <w:jc w:val="both"/>
        <w:rPr>
          <w:rFonts w:ascii="Times New Roman" w:hAnsi="Times New Roman" w:cs="Times New Roman"/>
          <w:sz w:val="24"/>
          <w:szCs w:val="24"/>
        </w:rPr>
      </w:pPr>
      <w:r w:rsidRPr="00ED53AE">
        <w:rPr>
          <w:rFonts w:ascii="Times New Roman" w:hAnsi="Times New Roman" w:cs="Times New Roman"/>
          <w:bCs/>
          <w:sz w:val="24"/>
          <w:szCs w:val="24"/>
        </w:rPr>
        <w:t xml:space="preserve">Tieslietu ministrijas ieskatā minētais regulējums ir smagnējs, ar sarežģītu juridisko konstrukciju. Ja likumprojekta </w:t>
      </w:r>
      <w:r w:rsidRPr="00ED53AE">
        <w:rPr>
          <w:rFonts w:ascii="Times New Roman" w:hAnsi="Times New Roman" w:cs="Times New Roman"/>
          <w:sz w:val="24"/>
          <w:szCs w:val="24"/>
        </w:rPr>
        <w:t xml:space="preserve">73. panta ceturtā daļa paredz, ka </w:t>
      </w:r>
      <w:r w:rsidRPr="00ED53AE">
        <w:rPr>
          <w:rFonts w:ascii="Times New Roman" w:hAnsi="Times New Roman" w:cs="Times New Roman"/>
          <w:bCs/>
          <w:sz w:val="24"/>
          <w:szCs w:val="24"/>
        </w:rPr>
        <w:t xml:space="preserve">ieguldījumu brokeru sabiedrības maksātnespējas </w:t>
      </w:r>
      <w:r w:rsidR="00696954" w:rsidRPr="00ED53AE">
        <w:rPr>
          <w:rFonts w:ascii="Times New Roman" w:hAnsi="Times New Roman" w:cs="Times New Roman"/>
          <w:bCs/>
          <w:sz w:val="24"/>
          <w:szCs w:val="24"/>
        </w:rPr>
        <w:t xml:space="preserve">procesa </w:t>
      </w:r>
      <w:r w:rsidRPr="00ED53AE">
        <w:rPr>
          <w:rFonts w:ascii="Times New Roman" w:hAnsi="Times New Roman" w:cs="Times New Roman"/>
          <w:bCs/>
          <w:sz w:val="24"/>
          <w:szCs w:val="24"/>
        </w:rPr>
        <w:t>pieteikums tiek iesniegts tikai ar</w:t>
      </w:r>
      <w:r w:rsidRPr="00ED53AE">
        <w:rPr>
          <w:rFonts w:ascii="Times New Roman" w:hAnsi="Times New Roman" w:cs="Times New Roman"/>
          <w:sz w:val="24"/>
          <w:szCs w:val="24"/>
        </w:rPr>
        <w:t xml:space="preserve"> Komisijas piekrišanu, nav viennozīmīgi skaidrs, kādēļ Komisija, veicot izvērtējumu, vai dot piekrišanu</w:t>
      </w:r>
      <w:r w:rsidRPr="00ED53AE">
        <w:rPr>
          <w:rFonts w:ascii="Times New Roman" w:hAnsi="Times New Roman" w:cs="Times New Roman"/>
          <w:bCs/>
          <w:i/>
          <w:iCs/>
          <w:sz w:val="24"/>
          <w:szCs w:val="24"/>
        </w:rPr>
        <w:t xml:space="preserve"> </w:t>
      </w:r>
      <w:r w:rsidRPr="00ED53AE">
        <w:rPr>
          <w:rFonts w:ascii="Times New Roman" w:hAnsi="Times New Roman" w:cs="Times New Roman"/>
          <w:bCs/>
          <w:sz w:val="24"/>
          <w:szCs w:val="24"/>
        </w:rPr>
        <w:t xml:space="preserve">ieguldījumu brokeru sabiedrības maksātnespējas </w:t>
      </w:r>
      <w:r w:rsidR="00696954" w:rsidRPr="00ED53AE">
        <w:rPr>
          <w:rFonts w:ascii="Times New Roman" w:hAnsi="Times New Roman" w:cs="Times New Roman"/>
          <w:bCs/>
          <w:sz w:val="24"/>
          <w:szCs w:val="24"/>
        </w:rPr>
        <w:t xml:space="preserve">procesa </w:t>
      </w:r>
      <w:r w:rsidRPr="00ED53AE">
        <w:rPr>
          <w:rFonts w:ascii="Times New Roman" w:hAnsi="Times New Roman" w:cs="Times New Roman"/>
          <w:bCs/>
          <w:sz w:val="24"/>
          <w:szCs w:val="24"/>
        </w:rPr>
        <w:t>pieteikuma iesniegšanai tiesā</w:t>
      </w:r>
      <w:r w:rsidRPr="00ED53AE">
        <w:rPr>
          <w:rFonts w:ascii="Times New Roman" w:hAnsi="Times New Roman" w:cs="Times New Roman"/>
          <w:sz w:val="24"/>
          <w:szCs w:val="24"/>
        </w:rPr>
        <w:t xml:space="preserve">, vienlaikus nevarētu izlemt jautājumu par noregulējuma darbībām attiecībā uz ieguldījumu brokeru sabiedrību, tādējādi atbrīvojot tiesu no pienākuma informēt Komisiju par iesniegto pieteikumu, lai noskaidrotu tās plānus attiecībā uz </w:t>
      </w:r>
      <w:r w:rsidRPr="00ED53AE">
        <w:rPr>
          <w:rFonts w:ascii="Times New Roman" w:hAnsi="Times New Roman" w:cs="Times New Roman"/>
          <w:bCs/>
          <w:sz w:val="24"/>
          <w:szCs w:val="24"/>
        </w:rPr>
        <w:t>ieguldījumu brokeru sabiedrību</w:t>
      </w:r>
      <w:r w:rsidRPr="00ED53AE">
        <w:rPr>
          <w:rFonts w:ascii="Times New Roman" w:hAnsi="Times New Roman" w:cs="Times New Roman"/>
          <w:sz w:val="24"/>
          <w:szCs w:val="24"/>
        </w:rPr>
        <w:t xml:space="preserve">. Apvienojot minētās darbības, proti, </w:t>
      </w:r>
      <w:r w:rsidRPr="00ED53AE">
        <w:rPr>
          <w:rFonts w:ascii="Times New Roman" w:hAnsi="Times New Roman" w:cs="Times New Roman"/>
          <w:bCs/>
          <w:sz w:val="24"/>
          <w:szCs w:val="24"/>
        </w:rPr>
        <w:t xml:space="preserve">ja Komisija attiecīgo lēmumu pieņemtu, izlemjot jautājumu par piekrišanas sniegšanu vai nesniegšanu, pastāvot nosacījumiem atbilstoši kuriem maksātnespējas </w:t>
      </w:r>
      <w:r w:rsidR="00696954" w:rsidRPr="00ED53AE">
        <w:rPr>
          <w:rFonts w:ascii="Times New Roman" w:hAnsi="Times New Roman" w:cs="Times New Roman"/>
          <w:bCs/>
          <w:sz w:val="24"/>
          <w:szCs w:val="24"/>
        </w:rPr>
        <w:t xml:space="preserve">procesa </w:t>
      </w:r>
      <w:r w:rsidRPr="00ED53AE">
        <w:rPr>
          <w:rFonts w:ascii="Times New Roman" w:hAnsi="Times New Roman" w:cs="Times New Roman"/>
          <w:bCs/>
          <w:sz w:val="24"/>
          <w:szCs w:val="24"/>
        </w:rPr>
        <w:t xml:space="preserve">pieteikums būtu iesniedzams Komisijai, tiesai </w:t>
      </w:r>
      <w:r w:rsidRPr="00ED53AE">
        <w:rPr>
          <w:rFonts w:ascii="Times New Roman" w:hAnsi="Times New Roman" w:cs="Times New Roman"/>
          <w:sz w:val="24"/>
          <w:szCs w:val="24"/>
        </w:rPr>
        <w:t xml:space="preserve">Komisijas lēmums ar </w:t>
      </w:r>
      <w:r w:rsidRPr="00ED53AE">
        <w:rPr>
          <w:rFonts w:ascii="Times New Roman" w:hAnsi="Times New Roman" w:cs="Times New Roman"/>
          <w:bCs/>
          <w:sz w:val="24"/>
          <w:szCs w:val="24"/>
        </w:rPr>
        <w:t xml:space="preserve">ieguldījumu brokeru sabiedrības maksātnespējas </w:t>
      </w:r>
      <w:r w:rsidR="00696954" w:rsidRPr="00ED53AE">
        <w:rPr>
          <w:rFonts w:ascii="Times New Roman" w:hAnsi="Times New Roman" w:cs="Times New Roman"/>
          <w:bCs/>
          <w:sz w:val="24"/>
          <w:szCs w:val="24"/>
        </w:rPr>
        <w:t xml:space="preserve">procesa </w:t>
      </w:r>
      <w:r w:rsidRPr="00ED53AE">
        <w:rPr>
          <w:rFonts w:ascii="Times New Roman" w:hAnsi="Times New Roman" w:cs="Times New Roman"/>
          <w:bCs/>
          <w:sz w:val="24"/>
          <w:szCs w:val="24"/>
        </w:rPr>
        <w:t xml:space="preserve">pieteikuma iesniegšanu būtu zināms, un tiesa varētu izskatīt ieguldījumu brokeru sabiedrības maksātnespējas </w:t>
      </w:r>
      <w:r w:rsidR="00696954" w:rsidRPr="00ED53AE">
        <w:rPr>
          <w:rFonts w:ascii="Times New Roman" w:hAnsi="Times New Roman" w:cs="Times New Roman"/>
          <w:bCs/>
          <w:sz w:val="24"/>
          <w:szCs w:val="24"/>
        </w:rPr>
        <w:t xml:space="preserve">procesa </w:t>
      </w:r>
      <w:r w:rsidRPr="00ED53AE">
        <w:rPr>
          <w:rFonts w:ascii="Times New Roman" w:hAnsi="Times New Roman" w:cs="Times New Roman"/>
          <w:bCs/>
          <w:sz w:val="24"/>
          <w:szCs w:val="24"/>
        </w:rPr>
        <w:t>pieteikumu. Vienlaikus tiesai nebūtu jālemj par maksātnespējas</w:t>
      </w:r>
      <w:r w:rsidR="00696954" w:rsidRPr="00ED53AE">
        <w:rPr>
          <w:rFonts w:ascii="Times New Roman" w:hAnsi="Times New Roman" w:cs="Times New Roman"/>
          <w:bCs/>
          <w:sz w:val="24"/>
          <w:szCs w:val="24"/>
        </w:rPr>
        <w:t xml:space="preserve"> procesa</w:t>
      </w:r>
      <w:r w:rsidRPr="00ED53AE">
        <w:rPr>
          <w:rFonts w:ascii="Times New Roman" w:hAnsi="Times New Roman" w:cs="Times New Roman"/>
          <w:bCs/>
          <w:sz w:val="24"/>
          <w:szCs w:val="24"/>
        </w:rPr>
        <w:t xml:space="preserve"> pieteikuma noraidīšanu, kā to šobrīd paredz</w:t>
      </w:r>
      <w:r w:rsidRPr="00ED53AE">
        <w:rPr>
          <w:rFonts w:ascii="Times New Roman" w:hAnsi="Times New Roman" w:cs="Times New Roman"/>
          <w:sz w:val="24"/>
          <w:szCs w:val="24"/>
        </w:rPr>
        <w:t xml:space="preserve"> likumprojekta 73. panta astotā daļa</w:t>
      </w:r>
      <w:r w:rsidRPr="00ED53AE">
        <w:rPr>
          <w:rStyle w:val="FootnoteReference"/>
          <w:rFonts w:ascii="Times New Roman" w:hAnsi="Times New Roman" w:cs="Times New Roman"/>
          <w:sz w:val="24"/>
          <w:szCs w:val="24"/>
        </w:rPr>
        <w:footnoteReference w:id="11"/>
      </w:r>
      <w:r w:rsidRPr="00ED53AE">
        <w:rPr>
          <w:rFonts w:ascii="Times New Roman" w:hAnsi="Times New Roman" w:cs="Times New Roman"/>
          <w:sz w:val="24"/>
          <w:szCs w:val="24"/>
        </w:rPr>
        <w:t>,</w:t>
      </w:r>
      <w:r w:rsidRPr="00ED53AE">
        <w:rPr>
          <w:rFonts w:ascii="Times New Roman" w:hAnsi="Times New Roman" w:cs="Times New Roman"/>
          <w:i/>
          <w:iCs/>
          <w:sz w:val="24"/>
          <w:szCs w:val="24"/>
        </w:rPr>
        <w:t xml:space="preserve"> </w:t>
      </w:r>
      <w:r w:rsidRPr="00ED53AE">
        <w:rPr>
          <w:rFonts w:ascii="Times New Roman" w:hAnsi="Times New Roman" w:cs="Times New Roman"/>
          <w:bCs/>
          <w:sz w:val="24"/>
          <w:szCs w:val="24"/>
        </w:rPr>
        <w:t>Komisijai paziņojot, ka ieguldījumu brokeru sabiedrība atbilst noregulējuma nosacījumiem un attiecībā uz ieguldījumu brokeru sabiedrību tā plāno veikt noregulējuma darbības</w:t>
      </w:r>
      <w:r w:rsidRPr="00ED53AE">
        <w:rPr>
          <w:rFonts w:ascii="Times New Roman" w:hAnsi="Times New Roman" w:cs="Times New Roman"/>
          <w:sz w:val="24"/>
          <w:szCs w:val="24"/>
        </w:rPr>
        <w:t xml:space="preserve">. </w:t>
      </w:r>
    </w:p>
    <w:p w14:paraId="0A63C25F" w14:textId="77777777" w:rsidR="00F633E6" w:rsidRPr="00ED53AE" w:rsidRDefault="00F633E6" w:rsidP="00F633E6">
      <w:pPr>
        <w:pStyle w:val="BodyTextIndent"/>
        <w:spacing w:after="0"/>
        <w:ind w:left="0" w:firstLine="720"/>
        <w:jc w:val="both"/>
        <w:rPr>
          <w:rFonts w:ascii="Times New Roman" w:hAnsi="Times New Roman" w:cs="Times New Roman"/>
          <w:sz w:val="24"/>
          <w:szCs w:val="24"/>
        </w:rPr>
      </w:pPr>
      <w:r w:rsidRPr="00ED53AE">
        <w:rPr>
          <w:rFonts w:ascii="Times New Roman" w:hAnsi="Times New Roman" w:cs="Times New Roman"/>
          <w:sz w:val="24"/>
          <w:szCs w:val="24"/>
        </w:rPr>
        <w:t>Ievērojot minēto, Tieslietu ministrijas ieskatā izvērtējama iespēja minēto regulējumu precizēt atbilstoši norādītajai juridiskajai konstrukcijai. Pastāvot objektīviem apstākļiem, kas liedz likumprojektu precizēt atbilstoši norādītajai juridiskajai konstrukcijai, lūdzam anotācijā sniegt minēto normu detalizētu skaidrojumu.</w:t>
      </w:r>
    </w:p>
    <w:p w14:paraId="4F2C9688" w14:textId="4CD3A7CF" w:rsidR="00F633E6" w:rsidRPr="00ED53AE" w:rsidRDefault="00C775CE" w:rsidP="00F633E6">
      <w:pPr>
        <w:ind w:firstLine="567"/>
        <w:rPr>
          <w:szCs w:val="24"/>
        </w:rPr>
      </w:pPr>
      <w:r w:rsidRPr="00ED53AE">
        <w:rPr>
          <w:szCs w:val="24"/>
        </w:rPr>
        <w:t>41</w:t>
      </w:r>
      <w:r w:rsidR="00F633E6" w:rsidRPr="00ED53AE">
        <w:rPr>
          <w:szCs w:val="24"/>
        </w:rPr>
        <w:t>. Vēršam uzmanību, ka likumprojekta 73. panta ceturtā, piektā, sestā, septītā un astotā daļa ir procesuālas normas, kurām būtu jābūt ietvertām Civilprocesa likuma 46.</w:t>
      </w:r>
      <w:r w:rsidR="00F633E6" w:rsidRPr="00ED53AE">
        <w:rPr>
          <w:szCs w:val="24"/>
          <w:vertAlign w:val="superscript"/>
        </w:rPr>
        <w:t>1</w:t>
      </w:r>
      <w:r w:rsidR="00F633E6" w:rsidRPr="00ED53AE">
        <w:rPr>
          <w:szCs w:val="24"/>
        </w:rPr>
        <w:t> nodaļā, nevis likumprojektā. Vienlaikus informējam, ka gadījumā, ja ir plānots šīs normas iekļaut Civilprocesa likumā, vispirms šāds regulējums ir izskatāms Civilprocesa likuma darba grupā.</w:t>
      </w:r>
    </w:p>
    <w:p w14:paraId="7C97CEAC" w14:textId="77777777" w:rsidR="00F633E6" w:rsidRPr="00ED53AE" w:rsidRDefault="00F633E6" w:rsidP="00F633E6">
      <w:pPr>
        <w:pStyle w:val="NoSpacing"/>
        <w:ind w:firstLine="567"/>
        <w:rPr>
          <w:szCs w:val="24"/>
        </w:rPr>
      </w:pPr>
      <w:r w:rsidRPr="00ED53AE">
        <w:rPr>
          <w:szCs w:val="24"/>
        </w:rPr>
        <w:t>Tāpat norādām, ka Tieslietu ministrijas ieskatā nav skaidrs, kā tiesa lietas ierosināšanas (nevis juridiskās personas maksātnespējas procesa pasludināšanas) brīdī varēs konstatēt vai pārliecināties par minētā panta ceturtajā un piektajā daļā norādītajiem apstākļiem, vienlaikus ievērojot, ka sestajā daļā noteiktā darbība būtiski atšķiras no civilprocesa norises konstrukcijas juridiskas personas maksātnespējas procesa lietās. Šajā sakarā papildus vēršam uzmanību uz Civilprocesa likuma 363.</w:t>
      </w:r>
      <w:r w:rsidRPr="00ED53AE">
        <w:rPr>
          <w:szCs w:val="24"/>
          <w:vertAlign w:val="superscript"/>
        </w:rPr>
        <w:t>10</w:t>
      </w:r>
      <w:r w:rsidRPr="00ED53AE">
        <w:rPr>
          <w:szCs w:val="24"/>
        </w:rPr>
        <w:t> panta pirmās daļas 2. punktā noteikto pienākumu tiesai.</w:t>
      </w:r>
    </w:p>
    <w:p w14:paraId="1F871BE5" w14:textId="6ED988C3" w:rsidR="00402F31" w:rsidRPr="00ED53AE" w:rsidRDefault="00C775CE" w:rsidP="00402F31">
      <w:pPr>
        <w:ind w:firstLine="567"/>
        <w:rPr>
          <w:szCs w:val="24"/>
        </w:rPr>
      </w:pPr>
      <w:r w:rsidRPr="00ED53AE">
        <w:rPr>
          <w:szCs w:val="24"/>
        </w:rPr>
        <w:t>42</w:t>
      </w:r>
      <w:r w:rsidR="00F633E6" w:rsidRPr="00ED53AE">
        <w:rPr>
          <w:szCs w:val="24"/>
        </w:rPr>
        <w:t xml:space="preserve">. </w:t>
      </w:r>
      <w:r w:rsidR="00E86030" w:rsidRPr="00ED53AE">
        <w:rPr>
          <w:szCs w:val="24"/>
        </w:rPr>
        <w:t>Likumprojekta 74. panta pirmās daļas 1. punktā cita starp noteikts: “</w:t>
      </w:r>
      <w:r w:rsidR="00E86030" w:rsidRPr="00ED53AE">
        <w:rPr>
          <w:i/>
          <w:iCs/>
          <w:szCs w:val="24"/>
        </w:rPr>
        <w:t>Likvidatoram vai administratoram Komisijas iesniegtais aprēķins par ieguldītājiem veiktajām izmaksām izmaksāto kompensāciju apmērā ir uzskatāms par kreditora prasību, kas apmierināma prioritārā kārtībā pirms citiem nenodrošināto kreditoru prasījumiem.</w:t>
      </w:r>
      <w:r w:rsidR="00E86030" w:rsidRPr="00ED53AE">
        <w:rPr>
          <w:szCs w:val="24"/>
        </w:rPr>
        <w:t xml:space="preserve">” Vēršam uzmanību, ka kreditoru prasījumu iesniegšanas, izskatīšanas un atzīšanas kārtība noteikta Maksātnespējas likuma 73., 74. un 75. pantā. Iepriekš citētā likumprojekta norma nonāk būtiskā pretrunā ar maksātnespējas procesa </w:t>
      </w:r>
      <w:r w:rsidR="00E86030" w:rsidRPr="00ED53AE">
        <w:rPr>
          <w:szCs w:val="24"/>
        </w:rPr>
        <w:lastRenderedPageBreak/>
        <w:t>administrēšanas konstrukciju, kā arī kreditoru vienlīdzības principu</w:t>
      </w:r>
      <w:r w:rsidR="00E86030" w:rsidRPr="00ED53AE">
        <w:rPr>
          <w:rStyle w:val="FootnoteReference"/>
          <w:szCs w:val="24"/>
        </w:rPr>
        <w:footnoteReference w:id="12"/>
      </w:r>
      <w:r w:rsidR="00E86030" w:rsidRPr="00ED53AE">
        <w:rPr>
          <w:szCs w:val="24"/>
        </w:rPr>
        <w:t>, vienlaikus ņemot vērā, ka kreditoru tiesības kopumā nav absolūtas un to realizēšanas nolūkos kreditoram ir jāveic aktīvas darbības.</w:t>
      </w:r>
      <w:r w:rsidR="00E86030" w:rsidRPr="00ED53AE">
        <w:rPr>
          <w:rStyle w:val="FootnoteReference"/>
          <w:szCs w:val="24"/>
        </w:rPr>
        <w:footnoteReference w:id="13"/>
      </w:r>
      <w:r w:rsidR="00E86030" w:rsidRPr="00ED53AE">
        <w:rPr>
          <w:szCs w:val="24"/>
        </w:rPr>
        <w:t xml:space="preserve"> Piemēram, arī kreditoriem, kuru prasījumu pamatā ir spēkā stājies tiesas spriedums,</w:t>
      </w:r>
      <w:r w:rsidR="00E86030" w:rsidRPr="00ED53AE">
        <w:rPr>
          <w:rStyle w:val="FootnoteReference"/>
          <w:szCs w:val="24"/>
        </w:rPr>
        <w:footnoteReference w:id="14"/>
      </w:r>
      <w:r w:rsidR="00E86030" w:rsidRPr="00ED53AE">
        <w:rPr>
          <w:szCs w:val="24"/>
        </w:rPr>
        <w:t xml:space="preserve"> ir jāiesniedz savs kreditora prasījums un maksātnespējas procesa administratoram ir pienākums</w:t>
      </w:r>
      <w:r w:rsidR="00E86030" w:rsidRPr="00ED53AE">
        <w:rPr>
          <w:rStyle w:val="FootnoteReference"/>
          <w:szCs w:val="24"/>
        </w:rPr>
        <w:footnoteReference w:id="15"/>
      </w:r>
      <w:r w:rsidR="00E86030" w:rsidRPr="00ED53AE">
        <w:rPr>
          <w:szCs w:val="24"/>
        </w:rPr>
        <w:t xml:space="preserve"> pārbaudīt tā faktisku izpildi. Ievērojot minēto, lūdzam pārskatīt likumprojekta 74. panta pirmās daļas 1. punktu.</w:t>
      </w:r>
    </w:p>
    <w:p w14:paraId="45CC1388" w14:textId="02D2599C" w:rsidR="00415420" w:rsidRPr="00ED53AE" w:rsidRDefault="00C775CE" w:rsidP="0001363E">
      <w:pPr>
        <w:pStyle w:val="NoSpacing"/>
        <w:ind w:firstLine="567"/>
        <w:rPr>
          <w:szCs w:val="24"/>
        </w:rPr>
      </w:pPr>
      <w:r w:rsidRPr="00ED53AE">
        <w:rPr>
          <w:szCs w:val="24"/>
        </w:rPr>
        <w:t>43</w:t>
      </w:r>
      <w:r w:rsidR="00E86030" w:rsidRPr="00ED53AE">
        <w:rPr>
          <w:szCs w:val="24"/>
        </w:rPr>
        <w:t xml:space="preserve">. </w:t>
      </w:r>
      <w:r w:rsidR="00415420" w:rsidRPr="00ED53AE">
        <w:rPr>
          <w:szCs w:val="24"/>
        </w:rPr>
        <w:t>Likumprojekta 74. pantā noteikta kreditoru prasījumu segšanas kārtība ieguldījumu brokeru sabiedrību maksātnespējas procesā un likvidācijas procesā, un šī panta otrā daļa paredz: “</w:t>
      </w:r>
      <w:r w:rsidR="00415420" w:rsidRPr="00ED53AE">
        <w:rPr>
          <w:i/>
          <w:iCs/>
          <w:szCs w:val="24"/>
        </w:rPr>
        <w:t>Ja parādnieka naudas līdzekļu nepietiek, lai pilnībā apmierinātu visus šā panta pirmās daļas otrajā punktā minētos kreditoru prasījumus, attiecīgie prasījumi apmierināmi proporcionāli prasījuma summai, kas pienākas katram kreditoram</w:t>
      </w:r>
      <w:r w:rsidR="00415420" w:rsidRPr="00ED53AE">
        <w:rPr>
          <w:szCs w:val="24"/>
        </w:rPr>
        <w:t xml:space="preserve">.” Vēlamies norādīt, ka tad, ja </w:t>
      </w:r>
      <w:r w:rsidR="00415420" w:rsidRPr="00ED53AE">
        <w:rPr>
          <w:szCs w:val="24"/>
          <w:lang w:eastAsia="lv-LV"/>
        </w:rPr>
        <w:t xml:space="preserve">komercsabiedrības likvidācijas gaitā atklājas, ka likvidējamās komercsabiedrības mantas nepietiek, lai apmierinātu visus pamatotos kreditoru prasījumus, Komerclikuma 323. pants paredz likvidatora pienākumu iesniegt maksātnespējas </w:t>
      </w:r>
      <w:r w:rsidR="00696954" w:rsidRPr="00ED53AE">
        <w:rPr>
          <w:szCs w:val="24"/>
          <w:lang w:eastAsia="lv-LV"/>
        </w:rPr>
        <w:t xml:space="preserve">procesa </w:t>
      </w:r>
      <w:r w:rsidR="00415420" w:rsidRPr="00ED53AE">
        <w:rPr>
          <w:szCs w:val="24"/>
          <w:lang w:eastAsia="lv-LV"/>
        </w:rPr>
        <w:t xml:space="preserve">pieteikumu likumā noteiktajā kārtībā. Līdz ar to nav iespējama situācija, kad likvidācijas procesa laikā kreditora prasījums netiek apmierināts vai tiek apmierināts daļēji. Ievērojot minēto, lūdzam precizēt likumprojektu, neattiecinot 74. panta otro daļu uz ieguldījumu brokeru sabiedrības likvidācijas procesu. </w:t>
      </w:r>
    </w:p>
    <w:p w14:paraId="363F6780" w14:textId="5A50237A" w:rsidR="0001363E" w:rsidRPr="00ED53AE" w:rsidRDefault="00C775CE" w:rsidP="0001363E">
      <w:pPr>
        <w:pStyle w:val="NoSpacing"/>
        <w:ind w:firstLine="567"/>
        <w:rPr>
          <w:szCs w:val="24"/>
        </w:rPr>
      </w:pPr>
      <w:r w:rsidRPr="00ED53AE">
        <w:rPr>
          <w:szCs w:val="24"/>
        </w:rPr>
        <w:t>44</w:t>
      </w:r>
      <w:r w:rsidR="00415420" w:rsidRPr="00ED53AE">
        <w:rPr>
          <w:szCs w:val="24"/>
        </w:rPr>
        <w:t xml:space="preserve">. </w:t>
      </w:r>
      <w:r w:rsidR="0001363E" w:rsidRPr="00ED53AE">
        <w:rPr>
          <w:szCs w:val="24"/>
        </w:rPr>
        <w:t>Likumprojekta 74. panta trešā daļa Tieslietu ministrijas ieskatā neatbilst Eiropas Parlamenta un Padomes 2014. gada 15. maija direktīvas 2014/59/ES, ar ko izveido kredītiestāžu un ieguldījumu brokeru sabiedrību atveseļošanas un noregulējuma režīmu un groza Padomes Direktīvu 82/891/EEK un Eiropas Parlamenta un Padomes Direktīvas 2001/24/EK, 2002/47/EK, 2004/25/EK, 2005/56/EK, 2007/36/EK, 2011/35/ES, 2012/30/ES un 2013/36/ES, un Eiropas Parlamenta un Padomes Regulas (ES) Nr. 1093/2010 un (ES) Nr. 648/2012 108. panta 2. un 3. punktam. Minētais 2. punkts ir ieviests nepilnīgi, jo likumprojekta norma paredz vienāda līmeņa prioritāti, kaut arī direktīva noteic pakārtotu. Savukārt minētās direktīvas 108. panta 3. punkts likumprojektā nav ieviests vispār. Ņemot vērā izklāstīto, lūdzam pārskatīt likumprojekta 74. panta trešo daļu.</w:t>
      </w:r>
    </w:p>
    <w:p w14:paraId="0500BC9D" w14:textId="4F6DF721" w:rsidR="00F633E6" w:rsidRPr="00ED53AE" w:rsidRDefault="00F633E6" w:rsidP="00F633E6">
      <w:pPr>
        <w:pStyle w:val="NoSpacing"/>
        <w:ind w:firstLine="567"/>
        <w:rPr>
          <w:szCs w:val="24"/>
        </w:rPr>
      </w:pPr>
      <w:r w:rsidRPr="00ED53AE">
        <w:rPr>
          <w:szCs w:val="24"/>
        </w:rPr>
        <w:t>4</w:t>
      </w:r>
      <w:r w:rsidR="00C775CE" w:rsidRPr="00ED53AE">
        <w:rPr>
          <w:szCs w:val="24"/>
        </w:rPr>
        <w:t>5</w:t>
      </w:r>
      <w:r w:rsidRPr="00ED53AE">
        <w:rPr>
          <w:szCs w:val="24"/>
        </w:rPr>
        <w:t>. Lūdzam pārskatīt likumprojekta 74. pantu ceturto daļu, ievērojot, ka arī juridiskās personas maksātnespējas procesa rezultātā ieguldījumu brokeru sabiedrība pēc būtības tiks likvidēta.</w:t>
      </w:r>
      <w:r w:rsidRPr="00ED53AE">
        <w:rPr>
          <w:rStyle w:val="FootnoteReference"/>
          <w:szCs w:val="24"/>
        </w:rPr>
        <w:footnoteReference w:id="16"/>
      </w:r>
    </w:p>
    <w:p w14:paraId="53457B76" w14:textId="48AE97D6" w:rsidR="00F633E6" w:rsidRPr="00ED53AE" w:rsidRDefault="00F12D60" w:rsidP="00F633E6">
      <w:pPr>
        <w:ind w:firstLine="567"/>
        <w:rPr>
          <w:szCs w:val="24"/>
        </w:rPr>
      </w:pPr>
      <w:r w:rsidRPr="00ED53AE">
        <w:rPr>
          <w:szCs w:val="24"/>
        </w:rPr>
        <w:t>4</w:t>
      </w:r>
      <w:r w:rsidR="00C775CE" w:rsidRPr="00ED53AE">
        <w:rPr>
          <w:szCs w:val="24"/>
        </w:rPr>
        <w:t>6</w:t>
      </w:r>
      <w:r w:rsidRPr="00ED53AE">
        <w:rPr>
          <w:szCs w:val="24"/>
        </w:rPr>
        <w:t>. Lūdzam precizēt likumprojekta 75. panta otrās daļas 4. punktu atbilstoši Administratīvā procesa likumā lietotajai terminoloģijai, proti, tiesā administratīvie akti tiek pārsūdzēti, nevis apstrīdēti.</w:t>
      </w:r>
    </w:p>
    <w:p w14:paraId="2211957A" w14:textId="2136D995" w:rsidR="00F633E6" w:rsidRPr="00ED53AE" w:rsidRDefault="00F633E6" w:rsidP="007532B6">
      <w:pPr>
        <w:ind w:firstLine="567"/>
        <w:rPr>
          <w:szCs w:val="24"/>
        </w:rPr>
      </w:pPr>
    </w:p>
    <w:p w14:paraId="5045E166" w14:textId="77777777" w:rsidR="00F12D60" w:rsidRPr="00ED53AE" w:rsidRDefault="00F12D60" w:rsidP="007532B6">
      <w:pPr>
        <w:ind w:firstLine="567"/>
        <w:rPr>
          <w:szCs w:val="24"/>
        </w:rPr>
      </w:pPr>
    </w:p>
    <w:p w14:paraId="6AAD0347" w14:textId="14E2DAE0" w:rsidR="00557AA1" w:rsidRPr="00ED53AE" w:rsidRDefault="009F62B1" w:rsidP="00DD1971">
      <w:pPr>
        <w:ind w:firstLine="567"/>
        <w:rPr>
          <w:b/>
          <w:bCs/>
          <w:szCs w:val="24"/>
        </w:rPr>
      </w:pPr>
      <w:bookmarkStart w:id="5" w:name="_Hlk66874825"/>
      <w:r w:rsidRPr="00ED53AE">
        <w:rPr>
          <w:szCs w:val="24"/>
        </w:rPr>
        <w:t>Vienlaikus Tieslietu ministrija izsaka arī šādus</w:t>
      </w:r>
      <w:r w:rsidR="006E6540" w:rsidRPr="00ED53AE">
        <w:rPr>
          <w:szCs w:val="24"/>
        </w:rPr>
        <w:t xml:space="preserve"> </w:t>
      </w:r>
      <w:r w:rsidR="006E6540" w:rsidRPr="00ED53AE">
        <w:rPr>
          <w:b/>
          <w:bCs/>
          <w:szCs w:val="24"/>
        </w:rPr>
        <w:t>priekšlikumus</w:t>
      </w:r>
      <w:r w:rsidR="00CC59FD" w:rsidRPr="00ED53AE">
        <w:rPr>
          <w:b/>
          <w:bCs/>
          <w:szCs w:val="24"/>
        </w:rPr>
        <w:t>.</w:t>
      </w:r>
    </w:p>
    <w:p w14:paraId="4030414E" w14:textId="77777777" w:rsidR="00524976" w:rsidRPr="00ED53AE" w:rsidRDefault="00AD6916" w:rsidP="00DD1971">
      <w:pPr>
        <w:pStyle w:val="NormalWeb"/>
        <w:spacing w:before="0" w:after="0"/>
        <w:ind w:right="13" w:firstLine="567"/>
        <w:jc w:val="both"/>
      </w:pPr>
      <w:r w:rsidRPr="00ED53AE">
        <w:t xml:space="preserve">1. </w:t>
      </w:r>
      <w:r w:rsidR="00524976" w:rsidRPr="00ED53AE">
        <w:t xml:space="preserve">Likumprojekta 4. panta pirmajā daļā tiek atrunāts licences ieguldījumu pakalpojumu sniegšanai turpmāk lietojamais saīsinājums – licence. Vienlaikus likumprojekta 4. panta otrajā un piektajā daļā, 31. panta pirmajā daļā, 66. panta trešās daļas 2. punktā un 75. panta trešās daļas 1. punktā norādīts uz licenci ieguldījumu pakalpojumu sniegšanai. Ievērojot minēto, lūdzam precizēt minētās tiesību normas atbilstoši likumprojektā atrunātajiem saīsinājumiem. </w:t>
      </w:r>
    </w:p>
    <w:p w14:paraId="28ECE2D7" w14:textId="25A8F0ED" w:rsidR="00524976" w:rsidRPr="00ED53AE" w:rsidRDefault="00524976" w:rsidP="00DD1971">
      <w:pPr>
        <w:pStyle w:val="NormalWeb"/>
        <w:spacing w:before="0" w:after="0"/>
        <w:ind w:right="13" w:firstLine="567"/>
        <w:jc w:val="both"/>
      </w:pPr>
      <w:r w:rsidRPr="00ED53AE">
        <w:t>2. Tiesiskās skaidrības nodrošināšanai likumprojekta 8. panta septītajā daļā lūdzam norādīt, ka Komisija noteiktos gadījumos nepiešķir licenci, nevis atļauju, ņemot vērā, ka atbilstoši likumprojekta 4. panta pirmajai daļai ieguldījumu brokeru sabiedrība ir tiesība uzsākt ieguldījumu pakalpojumu sniegšanu tikai pēc tam, kad Komisijā saņēmusi licenci.</w:t>
      </w:r>
    </w:p>
    <w:p w14:paraId="2053259C" w14:textId="4502D282" w:rsidR="00AD6916" w:rsidRPr="00ED53AE" w:rsidRDefault="00524976">
      <w:pPr>
        <w:pStyle w:val="NormalWeb"/>
        <w:spacing w:before="0" w:after="0"/>
        <w:ind w:right="13" w:firstLine="567"/>
        <w:jc w:val="both"/>
      </w:pPr>
      <w:r w:rsidRPr="00ED53AE">
        <w:lastRenderedPageBreak/>
        <w:t xml:space="preserve">3. </w:t>
      </w:r>
      <w:r w:rsidR="00D965EC" w:rsidRPr="00ED53AE">
        <w:t>Likumprojekta 12. panta otrās daļas 1. punktā noteikts, ka licence tiek izsniegta, ja dibinot ieguldījumu brokeru sabiedrību ir ievērots Ieguldījumu brokeru sabiedrību likums un citi normatīvie akti. Ņemot vērā, ka a</w:t>
      </w:r>
      <w:r w:rsidR="006E6540" w:rsidRPr="00ED53AE">
        <w:t>notācijā norādīt</w:t>
      </w:r>
      <w:r w:rsidR="00D965EC" w:rsidRPr="00ED53AE">
        <w:t>ais</w:t>
      </w:r>
      <w:r w:rsidR="006E6540" w:rsidRPr="00ED53AE">
        <w:t xml:space="preserve"> likumprojekta mērķis ir “izveidot ieguldījumu brokeru sabiedrībām atsevišķu regulējumu Latvijā” un </w:t>
      </w:r>
      <w:r w:rsidR="00CE74B9" w:rsidRPr="00ED53AE">
        <w:t>tas ticis izstrādāts arī tāpēc, ka “šobrīd Finanšu instrumentu tirgus likums regulē plašu jautājumu loku un ir noslogots, kā rezultātā tas ir kļuvis nepārskatāms, kas apgrūtina tā praktisku piemērošanu,”</w:t>
      </w:r>
      <w:r w:rsidR="00D965EC" w:rsidRPr="00ED53AE">
        <w:t xml:space="preserve"> ierosinām papildināt likumprojektu ar normu, kas paredz līdzīgu regulējumu kā Kredītiestāžu likuma 4. panta pirmā daļa, kurā ir noteikts, ka “Kredītiestādes dibināšanu, darbību, reorganizēšanu un likvidēšanu regulē šis likums, Komerclikums, Finanšu instrumentu tirgus likums un citi likumi, ievērojot tos noteikumus, kas ietverti šajā likumā.” Līdzīgas normas iekļaušana likumprojektā Tieslietu ministrijas ieskatā veicinātu ieguldījumu brokeru sabiedrībām piemērojamā regulējuma pārskatāmību.</w:t>
      </w:r>
    </w:p>
    <w:p w14:paraId="38F02D44" w14:textId="18529BC6" w:rsidR="00493E71" w:rsidRPr="00ED53AE" w:rsidRDefault="00EB43D6" w:rsidP="00DD1971">
      <w:pPr>
        <w:pStyle w:val="NormalWeb"/>
        <w:spacing w:before="0" w:after="0"/>
        <w:ind w:right="13" w:firstLine="567"/>
        <w:jc w:val="both"/>
      </w:pPr>
      <w:r w:rsidRPr="00ED53AE">
        <w:t>4</w:t>
      </w:r>
      <w:r w:rsidR="00493E71" w:rsidRPr="00ED53AE">
        <w:t xml:space="preserve">. Norādām, ka likumprojekta 16. panta pirmās daļas 4. punktā noteikts, ka Komisija licenci anulē, ja “ieguldījumu brokeru sabiedrība neievēro likumu un citu normatīvo aktu prasības”, savukārt 23. panta 6. punkts nosaka, ka Komisija anulē ārvalsts ieguldījumu brokeru sabiedrības atļauju, ja tā “ir būtiski un sistemātiski pārkāpusi šā likuma un citu normatīvo aktu noteikumus.” Tieslietu ministrija ierosina likumprojektā dot priekšroku 23. panta 6. punkta formulējumam, tādēļ precizēt 16. panta pirmās daļas 4. punktu atbilstoši attiecīgās normas tekstam. </w:t>
      </w:r>
    </w:p>
    <w:p w14:paraId="6FFBDA54" w14:textId="342EA68A" w:rsidR="00F633E6" w:rsidRPr="00ED53AE" w:rsidRDefault="00EB43D6" w:rsidP="00F633E6">
      <w:pPr>
        <w:pStyle w:val="NormalWeb"/>
        <w:spacing w:before="0" w:after="0"/>
        <w:ind w:right="13" w:firstLine="567"/>
        <w:jc w:val="both"/>
      </w:pPr>
      <w:r w:rsidRPr="00ED53AE">
        <w:t>5</w:t>
      </w:r>
      <w:r w:rsidR="00D819C7" w:rsidRPr="00ED53AE">
        <w:t xml:space="preserve">. </w:t>
      </w:r>
      <w:r w:rsidR="00C56935" w:rsidRPr="00ED53AE">
        <w:t>Likumprojekta 51. pants regulē maksājumus Komisijas darbības finansēšanai, un tā pirmajā daļā noteikts, ka ieguldījumu brokeru sabiedrība “</w:t>
      </w:r>
      <w:r w:rsidR="00C56935" w:rsidRPr="00ED53AE">
        <w:rPr>
          <w:i/>
          <w:iCs/>
        </w:rPr>
        <w:t>(..) maksā Komisijai līdz 1 procentam ieskaitot no ieguldījumu brokeru sabiedrības darījumu vidējiem bruto ieņēmumiem ceturksnī, bet ne mazāk par 2845 euro gadā.</w:t>
      </w:r>
      <w:r w:rsidR="00C56935" w:rsidRPr="00ED53AE">
        <w:t xml:space="preserve">” </w:t>
      </w:r>
      <w:r w:rsidR="006474F6" w:rsidRPr="00ED53AE">
        <w:t>Lai būtu skaidrāk saprotams tas, par ko šāda maksa tiek veikta, aicinām precizēt likumprojekta 51. panta pirmās daļas normu, papildinot to aiz vārdiem “</w:t>
      </w:r>
      <w:r w:rsidR="006474F6" w:rsidRPr="00ED53AE">
        <w:rPr>
          <w:i/>
          <w:iCs/>
        </w:rPr>
        <w:t>maksā Komisijai</w:t>
      </w:r>
      <w:r w:rsidR="006474F6" w:rsidRPr="00ED53AE">
        <w:t>” ar vārdiem “</w:t>
      </w:r>
      <w:r w:rsidR="006474F6" w:rsidRPr="00ED53AE">
        <w:rPr>
          <w:i/>
          <w:iCs/>
        </w:rPr>
        <w:t>maksājumu tās darbības finansēšanai apmērā</w:t>
      </w:r>
      <w:r w:rsidR="006474F6" w:rsidRPr="00ED53AE">
        <w:t xml:space="preserve">”. </w:t>
      </w:r>
    </w:p>
    <w:p w14:paraId="7E20B086" w14:textId="31F4D603" w:rsidR="00D2646A" w:rsidRPr="00ED53AE" w:rsidRDefault="00252728" w:rsidP="00F633E6">
      <w:pPr>
        <w:pStyle w:val="NormalWeb"/>
        <w:spacing w:before="0" w:after="0"/>
        <w:ind w:right="13" w:firstLine="567"/>
        <w:jc w:val="both"/>
      </w:pPr>
      <w:r w:rsidRPr="00ED53AE">
        <w:t>6. Vēršam uzmanību, ka likumprojektā paredzētas normas, kas attiecas gan uz ieguldījumu brokeru sabiedrības akcionāriem, gan uz dalībniekiem, taču tajās kļūdīgi minēts tikai viens no šiem terminiem. Tāpat norādām, ka</w:t>
      </w:r>
      <w:r w:rsidR="00D2646A" w:rsidRPr="00ED53AE">
        <w:t xml:space="preserve"> atbilstoši Komerclikumam</w:t>
      </w:r>
      <w:r w:rsidRPr="00ED53AE">
        <w:t xml:space="preserve"> attiecībā uz </w:t>
      </w:r>
      <w:r w:rsidR="00FB4444" w:rsidRPr="00ED53AE">
        <w:t>sabiedrībām ar ierobežotu atbildību</w:t>
      </w:r>
      <w:r w:rsidRPr="00ED53AE">
        <w:t xml:space="preserve"> nepieciešams lietot terminus “pamatkapitāla daļas”, nevis “daļas” vai “kapitāla daļas”</w:t>
      </w:r>
      <w:r w:rsidR="00D2646A" w:rsidRPr="00ED53AE">
        <w:t xml:space="preserve">. Turklāt gan “pamatkapitāla daļas”, gan “akcijas” ir termini, kas jālieto vienlaikus, ja runa ir par kapitālsabiedrībām, jo pamatkapitāla daļas attiecināmas uz SIA, taču akcijas – AS. </w:t>
      </w:r>
    </w:p>
    <w:p w14:paraId="1F3B5C4A" w14:textId="4D849C44" w:rsidR="00252728" w:rsidRPr="00ED53AE" w:rsidRDefault="00D2646A" w:rsidP="00F633E6">
      <w:pPr>
        <w:pStyle w:val="NormalWeb"/>
        <w:spacing w:before="0" w:after="0"/>
        <w:ind w:right="13" w:firstLine="567"/>
        <w:jc w:val="both"/>
      </w:pPr>
      <w:r w:rsidRPr="00ED53AE">
        <w:t>Līdz ar to k</w:t>
      </w:r>
      <w:r w:rsidR="00252728" w:rsidRPr="00ED53AE">
        <w:t>onsekventas terminoloģijas lietošanas nolūkos lūdzam pārskatīt likumprojektu</w:t>
      </w:r>
      <w:r w:rsidRPr="00ED53AE">
        <w:t xml:space="preserve"> atbilstoši priekšlikumā norādītajam, jo pretējā gadījumā var rasties normu interpretācijas problēmas.</w:t>
      </w:r>
    </w:p>
    <w:p w14:paraId="46285026" w14:textId="77777777" w:rsidR="00C633F2" w:rsidRPr="00ED53AE" w:rsidRDefault="00C633F2" w:rsidP="00DD1971">
      <w:pPr>
        <w:pStyle w:val="NormalWeb"/>
        <w:spacing w:before="0" w:after="0"/>
        <w:ind w:right="13" w:firstLine="567"/>
        <w:jc w:val="both"/>
      </w:pPr>
    </w:p>
    <w:p w14:paraId="7ABB6303" w14:textId="087365E2" w:rsidR="00AD6916" w:rsidRPr="00ED53AE" w:rsidRDefault="004021B2" w:rsidP="00AD6916">
      <w:pPr>
        <w:ind w:firstLine="567"/>
        <w:rPr>
          <w:szCs w:val="24"/>
        </w:rPr>
      </w:pPr>
      <w:r w:rsidRPr="00ED53AE">
        <w:rPr>
          <w:szCs w:val="24"/>
        </w:rPr>
        <w:t xml:space="preserve"> </w:t>
      </w:r>
    </w:p>
    <w:tbl>
      <w:tblPr>
        <w:tblStyle w:val="TableGrid"/>
        <w:tblW w:w="964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4"/>
        <w:gridCol w:w="4816"/>
      </w:tblGrid>
      <w:tr w:rsidR="006E2973" w:rsidRPr="00ED53AE" w14:paraId="4284C5BE" w14:textId="77777777" w:rsidTr="006D7CF0">
        <w:tc>
          <w:tcPr>
            <w:tcW w:w="4824" w:type="dxa"/>
          </w:tcPr>
          <w:bookmarkEnd w:id="5"/>
          <w:p w14:paraId="7DC595A8" w14:textId="77777777" w:rsidR="00E748F1" w:rsidRPr="00ED53AE" w:rsidRDefault="00E748F1" w:rsidP="00AF4FF1">
            <w:pPr>
              <w:rPr>
                <w:rFonts w:eastAsia="BatangChe"/>
                <w:szCs w:val="24"/>
                <w:lang w:eastAsia="lv-LV"/>
              </w:rPr>
            </w:pPr>
            <w:r w:rsidRPr="00ED53AE">
              <w:rPr>
                <w:rFonts w:eastAsia="BatangChe"/>
                <w:szCs w:val="24"/>
                <w:lang w:eastAsia="lv-LV"/>
              </w:rPr>
              <w:t>Valsts sekretāra vietniece</w:t>
            </w:r>
          </w:p>
          <w:p w14:paraId="199902C3" w14:textId="200B513C" w:rsidR="00E748F1" w:rsidRPr="00ED53AE" w:rsidRDefault="00E748F1" w:rsidP="00AF4FF1">
            <w:pPr>
              <w:ind w:left="-249" w:firstLine="249"/>
              <w:rPr>
                <w:szCs w:val="24"/>
              </w:rPr>
            </w:pPr>
            <w:r w:rsidRPr="00ED53AE">
              <w:rPr>
                <w:rFonts w:eastAsia="BatangChe"/>
                <w:szCs w:val="24"/>
                <w:lang w:eastAsia="lv-LV"/>
              </w:rPr>
              <w:t>tiesību politikas jautājumos</w:t>
            </w:r>
          </w:p>
        </w:tc>
        <w:tc>
          <w:tcPr>
            <w:tcW w:w="4816" w:type="dxa"/>
          </w:tcPr>
          <w:p w14:paraId="5E408782" w14:textId="77777777" w:rsidR="00E748F1" w:rsidRPr="00ED53AE" w:rsidRDefault="00E748F1" w:rsidP="00AF4FF1">
            <w:pPr>
              <w:tabs>
                <w:tab w:val="left" w:pos="9356"/>
              </w:tabs>
              <w:rPr>
                <w:rFonts w:eastAsia="BatangChe"/>
                <w:szCs w:val="24"/>
                <w:lang w:eastAsia="lv-LV"/>
              </w:rPr>
            </w:pPr>
          </w:p>
          <w:p w14:paraId="1E0BB754" w14:textId="4B33C196" w:rsidR="00E748F1" w:rsidRPr="00ED53AE" w:rsidRDefault="00E748F1" w:rsidP="00AF4FF1">
            <w:pPr>
              <w:tabs>
                <w:tab w:val="left" w:pos="9356"/>
              </w:tabs>
              <w:jc w:val="right"/>
              <w:rPr>
                <w:szCs w:val="24"/>
              </w:rPr>
            </w:pPr>
            <w:r w:rsidRPr="00ED53AE">
              <w:rPr>
                <w:rFonts w:eastAsia="BatangChe"/>
                <w:szCs w:val="24"/>
                <w:lang w:eastAsia="lv-LV"/>
              </w:rPr>
              <w:t>L. Medina</w:t>
            </w:r>
          </w:p>
        </w:tc>
      </w:tr>
    </w:tbl>
    <w:p w14:paraId="03C62C48" w14:textId="0FF1A6B5" w:rsidR="00025B04" w:rsidRPr="00ED53AE" w:rsidRDefault="00025B04" w:rsidP="00AF4FF1">
      <w:pPr>
        <w:rPr>
          <w:i/>
          <w:iCs/>
          <w:szCs w:val="24"/>
        </w:rPr>
      </w:pPr>
    </w:p>
    <w:p w14:paraId="44952DBF" w14:textId="77777777" w:rsidR="00AF4FF1" w:rsidRPr="00ED53AE" w:rsidRDefault="00AF4FF1" w:rsidP="00AF4FF1">
      <w:pPr>
        <w:rPr>
          <w:i/>
          <w:iCs/>
          <w:szCs w:val="24"/>
        </w:rPr>
      </w:pPr>
    </w:p>
    <w:p w14:paraId="4F2690ED" w14:textId="77777777" w:rsidR="00AF4FF1" w:rsidRPr="00ED53AE" w:rsidRDefault="00B03F1F" w:rsidP="00AF4FF1">
      <w:pPr>
        <w:tabs>
          <w:tab w:val="left" w:pos="2415"/>
        </w:tabs>
        <w:rPr>
          <w:i/>
          <w:iCs/>
          <w:sz w:val="20"/>
          <w:szCs w:val="20"/>
        </w:rPr>
      </w:pPr>
      <w:r w:rsidRPr="00ED53AE">
        <w:rPr>
          <w:i/>
          <w:iCs/>
          <w:sz w:val="20"/>
          <w:szCs w:val="20"/>
        </w:rPr>
        <w:t xml:space="preserve">G. </w:t>
      </w:r>
      <w:r w:rsidR="00EC306A" w:rsidRPr="00ED53AE">
        <w:rPr>
          <w:i/>
          <w:iCs/>
          <w:sz w:val="20"/>
          <w:szCs w:val="20"/>
        </w:rPr>
        <w:t>Daukste</w:t>
      </w:r>
      <w:r w:rsidR="00EC306A" w:rsidRPr="00ED53AE">
        <w:rPr>
          <w:sz w:val="20"/>
          <w:szCs w:val="20"/>
        </w:rPr>
        <w:t xml:space="preserve"> </w:t>
      </w:r>
      <w:r w:rsidR="00EC306A" w:rsidRPr="00ED53AE">
        <w:rPr>
          <w:i/>
          <w:iCs/>
          <w:sz w:val="20"/>
          <w:szCs w:val="20"/>
        </w:rPr>
        <w:t>67036795</w:t>
      </w:r>
    </w:p>
    <w:p w14:paraId="58D2425D" w14:textId="6F85C7DA" w:rsidR="00EC306A" w:rsidRPr="00ED53AE" w:rsidRDefault="00AF4FF1" w:rsidP="00AF4FF1">
      <w:pPr>
        <w:tabs>
          <w:tab w:val="left" w:pos="2415"/>
        </w:tabs>
        <w:rPr>
          <w:i/>
          <w:iCs/>
          <w:sz w:val="20"/>
          <w:szCs w:val="20"/>
        </w:rPr>
      </w:pPr>
      <w:r w:rsidRPr="00ED53AE">
        <w:rPr>
          <w:i/>
          <w:iCs/>
          <w:sz w:val="20"/>
          <w:szCs w:val="20"/>
        </w:rPr>
        <w:t>gita.daukste@tm.gov.lv</w:t>
      </w:r>
    </w:p>
    <w:p w14:paraId="7A50E08E" w14:textId="27106638" w:rsidR="00DC13AC" w:rsidRPr="00ED53AE" w:rsidRDefault="00DC13AC" w:rsidP="00AF4FF1">
      <w:pPr>
        <w:tabs>
          <w:tab w:val="left" w:pos="2415"/>
        </w:tabs>
        <w:rPr>
          <w:i/>
          <w:iCs/>
          <w:sz w:val="20"/>
          <w:szCs w:val="20"/>
        </w:rPr>
      </w:pPr>
    </w:p>
    <w:p w14:paraId="3B2E26F2" w14:textId="28E9C585" w:rsidR="008F7F8B" w:rsidRPr="00ED53AE" w:rsidRDefault="008F7F8B" w:rsidP="00AF4FF1">
      <w:pPr>
        <w:tabs>
          <w:tab w:val="left" w:pos="2415"/>
        </w:tabs>
        <w:rPr>
          <w:i/>
          <w:iCs/>
          <w:sz w:val="20"/>
          <w:szCs w:val="20"/>
        </w:rPr>
      </w:pPr>
      <w:r w:rsidRPr="00ED53AE">
        <w:rPr>
          <w:i/>
          <w:iCs/>
          <w:sz w:val="20"/>
          <w:szCs w:val="20"/>
        </w:rPr>
        <w:t>J. Ķupe 67036937</w:t>
      </w:r>
    </w:p>
    <w:p w14:paraId="2B4B545D" w14:textId="24E0BC79" w:rsidR="008F7F8B" w:rsidRPr="00ED53AE" w:rsidRDefault="008F7F8B" w:rsidP="00AF4FF1">
      <w:pPr>
        <w:tabs>
          <w:tab w:val="left" w:pos="2415"/>
        </w:tabs>
        <w:rPr>
          <w:i/>
          <w:iCs/>
          <w:sz w:val="20"/>
          <w:szCs w:val="20"/>
        </w:rPr>
      </w:pPr>
      <w:r w:rsidRPr="00ED53AE">
        <w:rPr>
          <w:i/>
          <w:iCs/>
          <w:sz w:val="20"/>
          <w:szCs w:val="20"/>
        </w:rPr>
        <w:t>juta.kupe@tm.gov.lv</w:t>
      </w:r>
    </w:p>
    <w:p w14:paraId="1844EBA2" w14:textId="5723F41A" w:rsidR="008F7F8B" w:rsidRPr="00ED53AE" w:rsidRDefault="008F7F8B" w:rsidP="00DC13AC">
      <w:pPr>
        <w:pStyle w:val="NoSpacing"/>
        <w:rPr>
          <w:i/>
          <w:iCs/>
          <w:sz w:val="20"/>
          <w:szCs w:val="20"/>
        </w:rPr>
      </w:pPr>
    </w:p>
    <w:p w14:paraId="70080C20" w14:textId="77777777" w:rsidR="008F7F8B" w:rsidRPr="00ED53AE" w:rsidRDefault="008F7F8B" w:rsidP="008F7F8B">
      <w:pPr>
        <w:pStyle w:val="NoSpacing"/>
        <w:rPr>
          <w:i/>
          <w:iCs/>
          <w:sz w:val="20"/>
          <w:szCs w:val="20"/>
        </w:rPr>
      </w:pPr>
      <w:r w:rsidRPr="00ED53AE">
        <w:rPr>
          <w:i/>
          <w:iCs/>
          <w:sz w:val="20"/>
          <w:szCs w:val="20"/>
        </w:rPr>
        <w:t>L. Ozola 67046147</w:t>
      </w:r>
    </w:p>
    <w:p w14:paraId="7FC62D25" w14:textId="77777777" w:rsidR="008F7F8B" w:rsidRPr="00ED53AE" w:rsidRDefault="008F7F8B" w:rsidP="008F7F8B">
      <w:pPr>
        <w:rPr>
          <w:i/>
          <w:iCs/>
          <w:sz w:val="20"/>
          <w:szCs w:val="20"/>
        </w:rPr>
      </w:pPr>
      <w:r w:rsidRPr="00ED53AE">
        <w:rPr>
          <w:i/>
          <w:iCs/>
          <w:sz w:val="20"/>
          <w:szCs w:val="20"/>
        </w:rPr>
        <w:t>liene.ozola@tm.gov.lv</w:t>
      </w:r>
    </w:p>
    <w:p w14:paraId="1A129D29" w14:textId="77777777" w:rsidR="008F7F8B" w:rsidRPr="00ED53AE" w:rsidRDefault="008F7F8B" w:rsidP="00DC13AC">
      <w:pPr>
        <w:pStyle w:val="NoSpacing"/>
        <w:rPr>
          <w:i/>
          <w:iCs/>
          <w:sz w:val="20"/>
          <w:szCs w:val="20"/>
        </w:rPr>
      </w:pPr>
    </w:p>
    <w:p w14:paraId="0A26D59E" w14:textId="4722B8A6" w:rsidR="00DC13AC" w:rsidRPr="00ED53AE" w:rsidRDefault="00DC13AC" w:rsidP="00DC13AC">
      <w:pPr>
        <w:pStyle w:val="NoSpacing"/>
        <w:rPr>
          <w:i/>
          <w:iCs/>
          <w:sz w:val="20"/>
          <w:szCs w:val="20"/>
        </w:rPr>
      </w:pPr>
      <w:r w:rsidRPr="00ED53AE">
        <w:rPr>
          <w:i/>
          <w:iCs/>
          <w:sz w:val="20"/>
          <w:szCs w:val="20"/>
        </w:rPr>
        <w:t>K. Bajāre-Grīnberga 67036789</w:t>
      </w:r>
    </w:p>
    <w:p w14:paraId="33850CAB" w14:textId="4858E9D2" w:rsidR="00DC13AC" w:rsidRPr="00ED53AE" w:rsidRDefault="00DC13AC" w:rsidP="00AF4FF1">
      <w:pPr>
        <w:tabs>
          <w:tab w:val="left" w:pos="2415"/>
        </w:tabs>
        <w:rPr>
          <w:i/>
          <w:iCs/>
          <w:sz w:val="20"/>
          <w:szCs w:val="20"/>
        </w:rPr>
      </w:pPr>
      <w:r w:rsidRPr="00ED53AE">
        <w:rPr>
          <w:i/>
          <w:iCs/>
          <w:sz w:val="20"/>
          <w:szCs w:val="20"/>
        </w:rPr>
        <w:t>kintija.bajare-grinberga@tm.gov.lv</w:t>
      </w:r>
    </w:p>
    <w:p w14:paraId="6FF2D237" w14:textId="39D855D4" w:rsidR="00DC13AC" w:rsidRPr="00ED53AE" w:rsidRDefault="00DC13AC" w:rsidP="00DC13AC">
      <w:pPr>
        <w:rPr>
          <w:i/>
          <w:iCs/>
          <w:sz w:val="20"/>
          <w:szCs w:val="20"/>
        </w:rPr>
      </w:pPr>
    </w:p>
    <w:p w14:paraId="3B617D75" w14:textId="3615800C" w:rsidR="00E0706C" w:rsidRPr="00ED53AE" w:rsidRDefault="00E0706C" w:rsidP="00DC13AC">
      <w:pPr>
        <w:rPr>
          <w:i/>
          <w:iCs/>
          <w:sz w:val="20"/>
          <w:szCs w:val="20"/>
        </w:rPr>
      </w:pPr>
      <w:r w:rsidRPr="00ED53AE">
        <w:rPr>
          <w:i/>
          <w:iCs/>
          <w:sz w:val="20"/>
          <w:szCs w:val="20"/>
        </w:rPr>
        <w:t>L. Strazdiņa 67036951</w:t>
      </w:r>
    </w:p>
    <w:p w14:paraId="71DE2333" w14:textId="143B3AFE" w:rsidR="00E0706C" w:rsidRPr="00ED53AE" w:rsidRDefault="00E0706C" w:rsidP="00DC13AC">
      <w:pPr>
        <w:rPr>
          <w:i/>
          <w:iCs/>
          <w:sz w:val="20"/>
          <w:szCs w:val="20"/>
        </w:rPr>
      </w:pPr>
      <w:r w:rsidRPr="00ED53AE">
        <w:rPr>
          <w:i/>
          <w:iCs/>
          <w:sz w:val="20"/>
          <w:szCs w:val="20"/>
        </w:rPr>
        <w:t>linda.strazdina@tm.gov.lv</w:t>
      </w:r>
    </w:p>
    <w:sectPr w:rsidR="00E0706C" w:rsidRPr="00ED53AE" w:rsidSect="00A34ACB">
      <w:headerReference w:type="default" r:id="rId10"/>
      <w:footerReference w:type="default" r:id="rId11"/>
      <w:headerReference w:type="first" r:id="rId12"/>
      <w:footerReference w:type="first" r:id="rId13"/>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AF47A1" w14:textId="77777777" w:rsidR="00002F6C" w:rsidRDefault="00002F6C">
      <w:r>
        <w:separator/>
      </w:r>
    </w:p>
  </w:endnote>
  <w:endnote w:type="continuationSeparator" w:id="0">
    <w:p w14:paraId="21F9385B" w14:textId="77777777" w:rsidR="00002F6C" w:rsidRDefault="00002F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RimHelvetica">
    <w:altName w:val="Calibri"/>
    <w:charset w:val="00"/>
    <w:family w:val="auto"/>
    <w:pitch w:val="default"/>
  </w:font>
  <w:font w:name="BatangChe">
    <w:charset w:val="81"/>
    <w:family w:val="modern"/>
    <w:pitch w:val="fixed"/>
    <w:sig w:usb0="B00002AF" w:usb1="69D77CFB" w:usb2="00000030" w:usb3="00000000" w:csb0="0008009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D54D4E" w14:textId="6F3FAB4F" w:rsidR="009209CA" w:rsidRDefault="00002F6C">
    <w:pPr>
      <w:pStyle w:val="Footer"/>
    </w:pPr>
    <w:r>
      <w:fldChar w:fldCharType="begin"/>
    </w:r>
    <w:r>
      <w:instrText xml:space="preserve"> FILENAME \* MERGEFORMAT </w:instrText>
    </w:r>
    <w:r>
      <w:fldChar w:fldCharType="separate"/>
    </w:r>
    <w:r w:rsidR="00BD69B9">
      <w:rPr>
        <w:noProof/>
      </w:rPr>
      <w:t>TMAtz_230321_FM_VSS_153</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DA0D32" w14:textId="1DC72D67" w:rsidR="009209CA" w:rsidRPr="00C8102C" w:rsidRDefault="00002F6C" w:rsidP="00C8102C">
    <w:pPr>
      <w:pStyle w:val="Footer"/>
    </w:pPr>
    <w:r>
      <w:fldChar w:fldCharType="begin"/>
    </w:r>
    <w:r>
      <w:instrText xml:space="preserve"> FILENAME \* MERGEFORMAT </w:instrText>
    </w:r>
    <w:r>
      <w:fldChar w:fldCharType="separate"/>
    </w:r>
    <w:r w:rsidR="00BD69B9">
      <w:rPr>
        <w:noProof/>
      </w:rPr>
      <w:t>TMAtz_230321_FM_VSS_153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88E853" w14:textId="77777777" w:rsidR="00002F6C" w:rsidRDefault="00002F6C">
      <w:r>
        <w:separator/>
      </w:r>
    </w:p>
  </w:footnote>
  <w:footnote w:type="continuationSeparator" w:id="0">
    <w:p w14:paraId="758ABA91" w14:textId="77777777" w:rsidR="00002F6C" w:rsidRDefault="00002F6C">
      <w:r>
        <w:continuationSeparator/>
      </w:r>
    </w:p>
  </w:footnote>
  <w:footnote w:id="1">
    <w:p w14:paraId="4F31E172" w14:textId="5369E324" w:rsidR="009209CA" w:rsidRDefault="009209CA">
      <w:pPr>
        <w:pStyle w:val="FootnoteText"/>
      </w:pPr>
      <w:r>
        <w:rPr>
          <w:rStyle w:val="FootnoteReference"/>
        </w:rPr>
        <w:footnoteRef/>
      </w:r>
      <w:r>
        <w:t xml:space="preserve"> S</w:t>
      </w:r>
      <w:r w:rsidRPr="00B47887">
        <w:t>k. Satversmes tiesas 2019. gada 5. decembra sprieduma lietā Nr. 2019-01-01 19.2. punktu</w:t>
      </w:r>
      <w:r>
        <w:t>.</w:t>
      </w:r>
    </w:p>
  </w:footnote>
  <w:footnote w:id="2">
    <w:p w14:paraId="2AED0D35" w14:textId="674D2B7C" w:rsidR="009209CA" w:rsidRDefault="009209CA">
      <w:pPr>
        <w:pStyle w:val="FootnoteText"/>
      </w:pPr>
      <w:r>
        <w:rPr>
          <w:rStyle w:val="FootnoteReference"/>
        </w:rPr>
        <w:footnoteRef/>
      </w:r>
      <w:r>
        <w:t xml:space="preserve"> Sk. </w:t>
      </w:r>
      <w:r w:rsidRPr="00870B64">
        <w:t>Satversmes tiesas 2020. gada 17. decembra spriedumu lietā Nr.2020-18-01</w:t>
      </w:r>
      <w:r>
        <w:t xml:space="preserve"> 23.2. punktu.</w:t>
      </w:r>
    </w:p>
  </w:footnote>
  <w:footnote w:id="3">
    <w:p w14:paraId="1BC16392" w14:textId="731A9687" w:rsidR="009209CA" w:rsidRDefault="009209CA">
      <w:pPr>
        <w:pStyle w:val="FootnoteText"/>
      </w:pPr>
      <w:r>
        <w:rPr>
          <w:rStyle w:val="FootnoteReference"/>
        </w:rPr>
        <w:footnoteRef/>
      </w:r>
      <w:r>
        <w:t xml:space="preserve"> </w:t>
      </w:r>
      <w:r w:rsidR="00FF2EC8">
        <w:t>Turpat</w:t>
      </w:r>
      <w:r>
        <w:t xml:space="preserve">, 24. punkts. </w:t>
      </w:r>
    </w:p>
  </w:footnote>
  <w:footnote w:id="4">
    <w:p w14:paraId="41336945" w14:textId="4F89117C" w:rsidR="009209CA" w:rsidRDefault="009209CA" w:rsidP="00F75C05">
      <w:pPr>
        <w:pStyle w:val="FootnoteText"/>
      </w:pPr>
      <w:r>
        <w:rPr>
          <w:rStyle w:val="FootnoteReference"/>
        </w:rPr>
        <w:footnoteRef/>
      </w:r>
      <w:r>
        <w:t xml:space="preserve"> Sk., piemēram, Izglītības likuma 50. panta pirmās daļas 1. punktā paredzēto izņēmumu: “</w:t>
      </w:r>
      <w:r w:rsidRPr="00F9474D">
        <w:rPr>
          <w:i/>
          <w:iCs/>
        </w:rPr>
        <w:t>Par pedagogu nedrīkst strādāt:1) persona, kas sodīta par tīša noziedzīga nodarījuma izdarīšanu (neatkarīgi no sodāmības dzēšanas vai noņemšanas), izņemot gadījumu, kad pēc sodāmības dzēšanas vai noņemšanas Izglītības kvalitātes valsts dienests izvērtējis, vai tas nekaitē izglītojamo interesēm, un atļāvis šai personai strādāt par pedagogu.”</w:t>
      </w:r>
    </w:p>
  </w:footnote>
  <w:footnote w:id="5">
    <w:p w14:paraId="2301A9F6" w14:textId="08F9640F" w:rsidR="00421317" w:rsidRDefault="00421317">
      <w:pPr>
        <w:pStyle w:val="FootnoteText"/>
      </w:pPr>
      <w:r>
        <w:rPr>
          <w:rStyle w:val="FootnoteReference"/>
        </w:rPr>
        <w:footnoteRef/>
      </w:r>
      <w:r>
        <w:t xml:space="preserve"> </w:t>
      </w:r>
      <w:r w:rsidR="006E2973">
        <w:t>Sk. Augstākās tiesas Civillietu departamenta 2019. gada 11. oktobra sprieduma lietā Nr.</w:t>
      </w:r>
      <w:r w:rsidR="006E2973" w:rsidRPr="006E2973">
        <w:t xml:space="preserve"> C73356619, SKC</w:t>
      </w:r>
      <w:r w:rsidR="006E2973">
        <w:t>- </w:t>
      </w:r>
      <w:r w:rsidR="006E2973" w:rsidRPr="006E2973">
        <w:t>1374/2019</w:t>
      </w:r>
      <w:r w:rsidR="006E2973">
        <w:t xml:space="preserve"> 7. punktu. </w:t>
      </w:r>
    </w:p>
  </w:footnote>
  <w:footnote w:id="6">
    <w:p w14:paraId="117E198D" w14:textId="3CA3FA7F" w:rsidR="009130C6" w:rsidRDefault="009130C6">
      <w:pPr>
        <w:pStyle w:val="FootnoteText"/>
      </w:pPr>
      <w:r>
        <w:rPr>
          <w:rStyle w:val="FootnoteReference"/>
        </w:rPr>
        <w:footnoteRef/>
      </w:r>
      <w:r>
        <w:t xml:space="preserve"> Sk. Likumprojekts “Grozījumi Kredītiestāžu likumā”. Pieejams: </w:t>
      </w:r>
      <w:r w:rsidRPr="009130C6">
        <w:t>https://titania.saeima.lv/LIVS13/saeimalivs13.nsf/0/AE829E5C40F0EDC5C225867F0031D785?OpenDocument</w:t>
      </w:r>
    </w:p>
  </w:footnote>
  <w:footnote w:id="7">
    <w:p w14:paraId="214C044E" w14:textId="77777777" w:rsidR="009209CA" w:rsidRPr="002E5624" w:rsidRDefault="009209CA" w:rsidP="00B35E27">
      <w:pPr>
        <w:pStyle w:val="FootnoteText"/>
      </w:pPr>
      <w:r w:rsidRPr="002E5624">
        <w:rPr>
          <w:rStyle w:val="FootnoteReference"/>
        </w:rPr>
        <w:footnoteRef/>
      </w:r>
      <w:r w:rsidRPr="002E5624">
        <w:t xml:space="preserve"> Likumprojekta 50. panta pirmās daļas pirmās daļas 1. punktā ietverta norāde par ieguldījumu brokeru sabiedrības maksātnespēju vai nonākšanu finansiālās grūtībās kā nosacījumu iespējai piemērot papildu prasības. Minētā norāde tieši izriet no Direktīvas 2019/2034 5. panta 1. punkta a) apakšpunkta un pēc būtības uz to neattiecas šajā iebildumā norādītais.</w:t>
      </w:r>
    </w:p>
  </w:footnote>
  <w:footnote w:id="8">
    <w:p w14:paraId="01C7CD31" w14:textId="77777777" w:rsidR="009209CA" w:rsidRPr="002E5624" w:rsidRDefault="009209CA" w:rsidP="00B35E27">
      <w:pPr>
        <w:pStyle w:val="FootnoteText"/>
      </w:pPr>
      <w:r w:rsidRPr="002E5624">
        <w:rPr>
          <w:rStyle w:val="FootnoteReference"/>
        </w:rPr>
        <w:footnoteRef/>
      </w:r>
      <w:r w:rsidRPr="002E5624">
        <w:t xml:space="preserve"> Skat., piemēram, 363.</w:t>
      </w:r>
      <w:r w:rsidRPr="002E5624">
        <w:rPr>
          <w:vertAlign w:val="superscript"/>
        </w:rPr>
        <w:t>2</w:t>
      </w:r>
      <w:r w:rsidRPr="002E5624">
        <w:t> pantu un 363.</w:t>
      </w:r>
      <w:r w:rsidRPr="002E5624">
        <w:rPr>
          <w:vertAlign w:val="superscript"/>
        </w:rPr>
        <w:t>13</w:t>
      </w:r>
      <w:r w:rsidRPr="002E5624">
        <w:t> pantu.</w:t>
      </w:r>
    </w:p>
  </w:footnote>
  <w:footnote w:id="9">
    <w:p w14:paraId="0DDCB045" w14:textId="77777777" w:rsidR="009209CA" w:rsidRPr="002E5624" w:rsidRDefault="009209CA" w:rsidP="00675E1D">
      <w:pPr>
        <w:pStyle w:val="FootnoteText"/>
      </w:pPr>
      <w:r w:rsidRPr="002E5624">
        <w:rPr>
          <w:rStyle w:val="FootnoteReference"/>
        </w:rPr>
        <w:footnoteRef/>
      </w:r>
      <w:r w:rsidRPr="002E5624">
        <w:t xml:space="preserve"> Saskaņā ar Finanšu un kapitāla tirgus komisijas likuma 4. pantu.</w:t>
      </w:r>
    </w:p>
  </w:footnote>
  <w:footnote w:id="10">
    <w:p w14:paraId="6662ECC1" w14:textId="77777777" w:rsidR="009209CA" w:rsidRPr="002E5624" w:rsidRDefault="009209CA" w:rsidP="00675E1D">
      <w:pPr>
        <w:pStyle w:val="FootnoteText"/>
      </w:pPr>
      <w:r w:rsidRPr="002E5624">
        <w:rPr>
          <w:rStyle w:val="FootnoteReference"/>
        </w:rPr>
        <w:footnoteRef/>
      </w:r>
      <w:r w:rsidRPr="002E5624">
        <w:t xml:space="preserve"> Saskaņā ar likumprojekta 1. panta pirmās daļas 17. punktu.</w:t>
      </w:r>
    </w:p>
  </w:footnote>
  <w:footnote w:id="11">
    <w:p w14:paraId="7F566857" w14:textId="77777777" w:rsidR="009209CA" w:rsidRPr="00C468E0" w:rsidRDefault="009209CA" w:rsidP="00F633E6">
      <w:pPr>
        <w:pStyle w:val="FootnoteText"/>
      </w:pPr>
      <w:r>
        <w:rPr>
          <w:rStyle w:val="FootnoteReference"/>
        </w:rPr>
        <w:footnoteRef/>
      </w:r>
      <w:r>
        <w:t xml:space="preserve"> </w:t>
      </w:r>
      <w:r w:rsidRPr="00E73665">
        <w:t xml:space="preserve">Likumprojekta 73. panta </w:t>
      </w:r>
      <w:r>
        <w:t>astotā</w:t>
      </w:r>
      <w:r w:rsidRPr="00E73665">
        <w:t xml:space="preserve"> daļa paredz</w:t>
      </w:r>
      <w:r>
        <w:rPr>
          <w:rFonts w:eastAsiaTheme="minorHAnsi"/>
          <w:bCs/>
        </w:rPr>
        <w:t>, j</w:t>
      </w:r>
      <w:r w:rsidRPr="00E73665">
        <w:rPr>
          <w:rFonts w:eastAsiaTheme="minorHAnsi"/>
          <w:bCs/>
        </w:rPr>
        <w:t xml:space="preserve">a </w:t>
      </w:r>
      <w:r w:rsidRPr="00AC1F79">
        <w:t>Finanšu un kapitāla tirgus komisij</w:t>
      </w:r>
      <w:r>
        <w:t>a</w:t>
      </w:r>
      <w:r w:rsidRPr="00E73665">
        <w:rPr>
          <w:rFonts w:eastAsiaTheme="minorHAnsi"/>
          <w:bCs/>
        </w:rPr>
        <w:t xml:space="preserve"> pēc šā panta sestajā daļā noteiktās informācijas saņemšanas tiesai ir paziņojusi, ka ieguldījumu brokeru sabiedrība atbilst noregulējuma nosacījumiem un attiecībā uz ieguldījumu brokeru sabiedrību tā plāno veikt noregulējuma darbības, tiesa pieņem nolēmumu par maksātnespējas pieteikuma noraidīšanu.</w:t>
      </w:r>
    </w:p>
  </w:footnote>
  <w:footnote w:id="12">
    <w:p w14:paraId="183E6AC6" w14:textId="77777777" w:rsidR="009209CA" w:rsidRPr="002E5624" w:rsidRDefault="009209CA" w:rsidP="00E86030">
      <w:pPr>
        <w:pStyle w:val="FootnoteText"/>
      </w:pPr>
      <w:r w:rsidRPr="002E5624">
        <w:rPr>
          <w:rStyle w:val="FootnoteReference"/>
        </w:rPr>
        <w:footnoteRef/>
      </w:r>
      <w:r w:rsidRPr="002E5624">
        <w:t xml:space="preserve"> Maksātnespējas likuma 6. panta 2. punkts.</w:t>
      </w:r>
    </w:p>
  </w:footnote>
  <w:footnote w:id="13">
    <w:p w14:paraId="2D92E813" w14:textId="77777777" w:rsidR="009209CA" w:rsidRPr="002E5624" w:rsidRDefault="009209CA" w:rsidP="00E86030">
      <w:pPr>
        <w:pStyle w:val="FootnoteText"/>
      </w:pPr>
      <w:r w:rsidRPr="002E5624">
        <w:rPr>
          <w:rStyle w:val="FootnoteReference"/>
        </w:rPr>
        <w:footnoteRef/>
      </w:r>
      <w:r w:rsidRPr="002E5624">
        <w:t xml:space="preserve"> Saskaņā ar Maksātnespējas likuma 73. panta otrajā daļā noteikto, ja kreditors nav īstenojis savas tiesības iesniegt kreditora prasījumu likumā noteiktajā termiņā, iestājas noilgums.</w:t>
      </w:r>
    </w:p>
  </w:footnote>
  <w:footnote w:id="14">
    <w:p w14:paraId="77DDF8F1" w14:textId="77777777" w:rsidR="009209CA" w:rsidRPr="002E5624" w:rsidRDefault="009209CA" w:rsidP="00E86030">
      <w:pPr>
        <w:pStyle w:val="FootnoteText"/>
      </w:pPr>
      <w:r w:rsidRPr="002E5624">
        <w:rPr>
          <w:rStyle w:val="FootnoteReference"/>
        </w:rPr>
        <w:footnoteRef/>
      </w:r>
      <w:r w:rsidRPr="002E5624">
        <w:t xml:space="preserve"> Atbilstoši likuma “Par tiesu varu”</w:t>
      </w:r>
      <w:r>
        <w:t xml:space="preserve"> 16. panta ceturtajai daļai tiesas spriedumam, kas ir stājies spēkā, </w:t>
      </w:r>
      <w:r w:rsidRPr="008823BC">
        <w:t>ir likuma spēks, visiem tas ir obligāts un pret to jāizturas ar tādu pašu cieņu kā pret likumu.</w:t>
      </w:r>
    </w:p>
  </w:footnote>
  <w:footnote w:id="15">
    <w:p w14:paraId="19A41FCD" w14:textId="77777777" w:rsidR="009209CA" w:rsidRPr="008823BC" w:rsidRDefault="009209CA" w:rsidP="00E86030">
      <w:pPr>
        <w:pStyle w:val="FootnoteText"/>
      </w:pPr>
      <w:r>
        <w:rPr>
          <w:rStyle w:val="FootnoteReference"/>
        </w:rPr>
        <w:footnoteRef/>
      </w:r>
      <w:r>
        <w:t xml:space="preserve"> Skat. Maksātnespējas likuma 74. pantu kopsakarā ar minētā likuma 75. panta otro daļu.</w:t>
      </w:r>
    </w:p>
  </w:footnote>
  <w:footnote w:id="16">
    <w:p w14:paraId="1281D592" w14:textId="77777777" w:rsidR="009209CA" w:rsidRPr="00CD3CB8" w:rsidRDefault="009209CA" w:rsidP="00F633E6">
      <w:pPr>
        <w:pStyle w:val="FootnoteText"/>
      </w:pPr>
      <w:r>
        <w:rPr>
          <w:rStyle w:val="FootnoteReference"/>
        </w:rPr>
        <w:footnoteRef/>
      </w:r>
      <w:r>
        <w:t xml:space="preserve"> Skat. Maksātnespējas likuma 120. pantu.</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7847357"/>
      <w:docPartObj>
        <w:docPartGallery w:val="Page Numbers (Top of Page)"/>
        <w:docPartUnique/>
      </w:docPartObj>
    </w:sdtPr>
    <w:sdtEndPr/>
    <w:sdtContent>
      <w:p w14:paraId="5E7C1C2E" w14:textId="315DD1B6" w:rsidR="009209CA" w:rsidRDefault="009209CA">
        <w:pPr>
          <w:pStyle w:val="Header"/>
          <w:jc w:val="center"/>
        </w:pPr>
        <w:r>
          <w:fldChar w:fldCharType="begin"/>
        </w:r>
        <w:r>
          <w:instrText>PAGE   \* MERGEFORMAT</w:instrText>
        </w:r>
        <w:r>
          <w:fldChar w:fldCharType="separate"/>
        </w:r>
        <w:r w:rsidR="002A4E2E">
          <w:rPr>
            <w:noProof/>
          </w:rPr>
          <w:t>10</w:t>
        </w:r>
        <w:r>
          <w:fldChar w:fldCharType="end"/>
        </w:r>
      </w:p>
    </w:sdtContent>
  </w:sdt>
  <w:p w14:paraId="5E7C1C2F" w14:textId="77777777" w:rsidR="009209CA" w:rsidRDefault="009209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7C1C31" w14:textId="77777777" w:rsidR="009209CA" w:rsidRDefault="009209CA" w:rsidP="00A34ACB">
    <w:pPr>
      <w:pStyle w:val="Header"/>
    </w:pPr>
    <w:r>
      <w:rPr>
        <w:noProof/>
        <w:lang w:eastAsia="lv-LV"/>
      </w:rPr>
      <w:drawing>
        <wp:anchor distT="0" distB="0" distL="114300" distR="114300" simplePos="0" relativeHeight="251660800" behindDoc="1" locked="0" layoutInCell="1" allowOverlap="1" wp14:anchorId="5E7C1C42" wp14:editId="5E7C1C43">
          <wp:simplePos x="0" y="0"/>
          <wp:positionH relativeFrom="margin">
            <wp:align>center</wp:align>
          </wp:positionH>
          <wp:positionV relativeFrom="paragraph">
            <wp:posOffset>84455</wp:posOffset>
          </wp:positionV>
          <wp:extent cx="5915025" cy="1066800"/>
          <wp:effectExtent l="0" t="0" r="0" b="0"/>
          <wp:wrapNone/>
          <wp:docPr id="1"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7C1C32" w14:textId="77777777" w:rsidR="009209CA" w:rsidRDefault="009209CA" w:rsidP="00A34ACB">
    <w:pPr>
      <w:pStyle w:val="Header"/>
    </w:pPr>
  </w:p>
  <w:p w14:paraId="5E7C1C33" w14:textId="77777777" w:rsidR="009209CA" w:rsidRDefault="009209CA" w:rsidP="00A34ACB">
    <w:pPr>
      <w:pStyle w:val="Header"/>
    </w:pPr>
  </w:p>
  <w:p w14:paraId="5E7C1C34" w14:textId="77777777" w:rsidR="009209CA" w:rsidRDefault="009209CA" w:rsidP="00A34ACB">
    <w:pPr>
      <w:pStyle w:val="Header"/>
    </w:pPr>
  </w:p>
  <w:p w14:paraId="5E7C1C35" w14:textId="77777777" w:rsidR="009209CA" w:rsidRDefault="009209CA" w:rsidP="00A34ACB">
    <w:pPr>
      <w:pStyle w:val="Header"/>
    </w:pPr>
  </w:p>
  <w:p w14:paraId="5E7C1C36" w14:textId="77777777" w:rsidR="009209CA" w:rsidRDefault="009209CA" w:rsidP="00A34ACB">
    <w:pPr>
      <w:pStyle w:val="Header"/>
    </w:pPr>
  </w:p>
  <w:p w14:paraId="5E7C1C37" w14:textId="77777777" w:rsidR="009209CA" w:rsidRDefault="009209CA" w:rsidP="00A34ACB">
    <w:pPr>
      <w:pStyle w:val="Header"/>
    </w:pPr>
  </w:p>
  <w:p w14:paraId="5E7C1C38" w14:textId="77777777" w:rsidR="009209CA" w:rsidRDefault="009209CA" w:rsidP="00A34ACB">
    <w:pPr>
      <w:pStyle w:val="Header"/>
    </w:pPr>
  </w:p>
  <w:p w14:paraId="5E7C1C39" w14:textId="77777777" w:rsidR="009209CA" w:rsidRDefault="009209CA" w:rsidP="00A34ACB">
    <w:pPr>
      <w:pStyle w:val="Header"/>
    </w:pPr>
  </w:p>
  <w:p w14:paraId="5E7C1C3A" w14:textId="77777777" w:rsidR="009209CA" w:rsidRPr="00815277" w:rsidRDefault="009209CA" w:rsidP="00A34ACB">
    <w:pPr>
      <w:pStyle w:val="Header"/>
    </w:pPr>
    <w:r>
      <w:rPr>
        <w:noProof/>
        <w:lang w:eastAsia="lv-LV"/>
      </w:rPr>
      <mc:AlternateContent>
        <mc:Choice Requires="wps">
          <w:drawing>
            <wp:anchor distT="0" distB="0" distL="114300" distR="114300" simplePos="0" relativeHeight="251658752" behindDoc="1" locked="0" layoutInCell="1" allowOverlap="1" wp14:anchorId="5E7C1C44" wp14:editId="5E7C1C45">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7C1C48" w14:textId="77777777" w:rsidR="009209CA" w:rsidRPr="006C6018" w:rsidRDefault="009209CA" w:rsidP="00A34ACB">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14:paraId="5E7C1C49" w14:textId="77777777" w:rsidR="009209CA" w:rsidRPr="006C6018" w:rsidRDefault="009209CA" w:rsidP="00A34ACB">
                          <w:pPr>
                            <w:spacing w:line="194" w:lineRule="exact"/>
                            <w:ind w:left="20" w:right="-45"/>
                            <w:jc w:val="center"/>
                            <w:rPr>
                              <w:rFonts w:eastAsia="Times New Roman"/>
                              <w:sz w:val="17"/>
                              <w:szCs w:val="17"/>
                            </w:rPr>
                          </w:pPr>
                          <w:r w:rsidRPr="006C6018">
                            <w:rPr>
                              <w:rFonts w:eastAsia="Times New Roman"/>
                              <w:sz w:val="17"/>
                              <w:szCs w:val="17"/>
                            </w:rPr>
                            <w:t>e-pasts: tm.kanceleja@tm.gov.lv;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a="http://schemas.openxmlformats.org/drawingml/2006/main">
          <w:pict>
            <v:shapetype id="_x0000_t202" coordsize="21600,21600" o:spt="202" path="m,l,21600r21600,l21600,xe" w14:anchorId="5E7C1C44">
              <v:stroke joinstyle="miter"/>
              <v:path gradientshapeok="t" o:connecttype="rect"/>
            </v:shapetype>
            <v:shape id="Text Box 43"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I/ZeP3pAQAAtwMAAA4AAAAAAAAAAAAAAAAALgIAAGRycy9lMm9Eb2Mu&#10;eG1sUEsBAi0AFAAGAAgAAAAhAPP0/G3gAAAADAEAAA8AAAAAAAAAAAAAAAAAQwQAAGRycy9kb3du&#10;cmV2LnhtbFBLBQYAAAAABAAEAPMAAABQBQAAAAA=&#10;">
              <v:textbox inset="0,0,0,0">
                <w:txbxContent>
                  <w:p w:rsidRPr="006C6018" w:rsidR="009209CA" w:rsidP="00A34ACB" w:rsidRDefault="009209CA" w14:paraId="5E7C1C48" w14:textId="77777777">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rsidRPr="006C6018" w:rsidR="009209CA" w:rsidP="00A34ACB" w:rsidRDefault="009209CA" w14:paraId="5E7C1C49" w14:textId="77777777">
                    <w:pPr>
                      <w:spacing w:line="194" w:lineRule="exact"/>
                      <w:ind w:left="20" w:right="-45"/>
                      <w:jc w:val="center"/>
                      <w:rPr>
                        <w:rFonts w:eastAsia="Times New Roman"/>
                        <w:sz w:val="17"/>
                        <w:szCs w:val="17"/>
                      </w:rPr>
                    </w:pPr>
                    <w:r w:rsidRPr="006C6018">
                      <w:rPr>
                        <w:rFonts w:eastAsia="Times New Roman"/>
                        <w:sz w:val="17"/>
                        <w:szCs w:val="17"/>
                      </w:rPr>
                      <w:t>e-pasts: tm.kanceleja@tm.gov.lv; www.tm.gov.lv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7728" behindDoc="1" locked="0" layoutInCell="1" allowOverlap="1" wp14:anchorId="5E7C1C46" wp14:editId="5E7C1C47">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a="http://schemas.openxmlformats.org/drawingml/2006/main">
          <w:pict>
            <v:group id="Group 41" style="position:absolute;margin-left:145.7pt;margin-top:149.85pt;width:346.25pt;height:.1pt;z-index:-251658752;mso-position-horizontal-relative:page;mso-position-vertical-relative:page" coordsize="6926,2" coordorigin="2915,2998"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" w14:anchorId="6C403E58">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v:path arrowok="t" o:connecttype="custom" o:connectlocs="0,0;6926,0" o:connectangles="0,0"/>
              </v:shape>
              <w10:wrap anchorx="page" anchory="page"/>
            </v:group>
          </w:pict>
        </mc:Fallback>
      </mc:AlternateContent>
    </w:r>
  </w:p>
  <w:p w14:paraId="51FDE44B" w14:textId="77777777" w:rsidR="009209CA" w:rsidRDefault="009209CA" w:rsidP="00AB4E8A">
    <w:pPr>
      <w:jc w:val="center"/>
      <w:rPr>
        <w:szCs w:val="24"/>
      </w:rPr>
    </w:pPr>
  </w:p>
  <w:p w14:paraId="5E7C1C3B" w14:textId="13C39A29" w:rsidR="009209CA" w:rsidRPr="00C836FF" w:rsidRDefault="009209CA" w:rsidP="00AB4E8A">
    <w:pPr>
      <w:jc w:val="center"/>
      <w:rPr>
        <w:szCs w:val="24"/>
      </w:rPr>
    </w:pPr>
    <w:r w:rsidRPr="00C836FF">
      <w:rPr>
        <w:szCs w:val="24"/>
      </w:rPr>
      <w:t>Rīgā</w:t>
    </w:r>
  </w:p>
  <w:p w14:paraId="5E7C1C3C" w14:textId="77777777" w:rsidR="009209CA" w:rsidRPr="00C836FF" w:rsidRDefault="009209CA" w:rsidP="00AB4E8A">
    <w:pPr>
      <w:jc w:val="center"/>
      <w:rPr>
        <w:szCs w:val="24"/>
      </w:rPr>
    </w:pPr>
  </w:p>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10"/>
      <w:gridCol w:w="420"/>
      <w:gridCol w:w="1890"/>
    </w:tblGrid>
    <w:tr w:rsidR="009209CA" w14:paraId="5E7C1C40" w14:textId="77777777" w:rsidTr="00662944">
      <w:tc>
        <w:tcPr>
          <w:tcW w:w="1810" w:type="dxa"/>
        </w:tcPr>
        <w:p w14:paraId="5E7C1C3D" w14:textId="41B37D0D" w:rsidR="009209CA" w:rsidRDefault="009209CA" w:rsidP="00E11DA3">
          <w:pPr>
            <w:pStyle w:val="Header"/>
            <w:jc w:val="center"/>
            <w:rPr>
              <w:szCs w:val="24"/>
            </w:rPr>
          </w:pPr>
          <w:r>
            <w:t>26.03.2021</w:t>
          </w:r>
          <w:r>
            <w:rPr>
              <w:szCs w:val="24"/>
            </w:rPr>
            <w:t>.</w:t>
          </w:r>
        </w:p>
      </w:tc>
      <w:tc>
        <w:tcPr>
          <w:tcW w:w="420" w:type="dxa"/>
          <w:tcBorders>
            <w:bottom w:val="nil"/>
          </w:tcBorders>
        </w:tcPr>
        <w:p w14:paraId="5E7C1C3E" w14:textId="77777777" w:rsidR="009209CA" w:rsidRDefault="009209CA" w:rsidP="00E11DA3">
          <w:pPr>
            <w:pStyle w:val="Header"/>
            <w:rPr>
              <w:szCs w:val="24"/>
            </w:rPr>
          </w:pPr>
          <w:r>
            <w:rPr>
              <w:szCs w:val="24"/>
            </w:rPr>
            <w:t xml:space="preserve"> Nr.</w:t>
          </w:r>
        </w:p>
      </w:tc>
      <w:tc>
        <w:tcPr>
          <w:tcW w:w="1890" w:type="dxa"/>
        </w:tcPr>
        <w:p w14:paraId="5E7C1C3F" w14:textId="77777777" w:rsidR="009209CA" w:rsidRDefault="009209CA" w:rsidP="00E11DA3">
          <w:pPr>
            <w:pStyle w:val="Header"/>
            <w:jc w:val="center"/>
            <w:rPr>
              <w:szCs w:val="24"/>
            </w:rPr>
          </w:pPr>
          <w:r>
            <w:t>1-9.1/326</w:t>
          </w:r>
        </w:p>
      </w:tc>
    </w:tr>
  </w:tbl>
  <w:p w14:paraId="5E7C1C41" w14:textId="77777777" w:rsidR="009209CA" w:rsidRPr="00887350" w:rsidRDefault="009209CA" w:rsidP="00E11DA3">
    <w:pPr>
      <w:tabs>
        <w:tab w:val="center" w:pos="4320"/>
        <w:tab w:val="right" w:pos="8640"/>
      </w:tabs>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5787DB5"/>
    <w:multiLevelType w:val="hybridMultilevel"/>
    <w:tmpl w:val="576641D2"/>
    <w:lvl w:ilvl="0" w:tplc="A77E1232">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4BA8352E"/>
    <w:multiLevelType w:val="hybridMultilevel"/>
    <w:tmpl w:val="CD4C601E"/>
    <w:lvl w:ilvl="0" w:tplc="82988E7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3" w15:restartNumberingAfterBreak="0">
    <w:nsid w:val="71B160AD"/>
    <w:multiLevelType w:val="hybridMultilevel"/>
    <w:tmpl w:val="F2C4050C"/>
    <w:lvl w:ilvl="0" w:tplc="B8FAF27A">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2"/>
  </w:num>
  <w:num w:numId="13">
    <w:abstractNumId w:val="13"/>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474"/>
    <w:rsid w:val="00002F6C"/>
    <w:rsid w:val="00005912"/>
    <w:rsid w:val="00006384"/>
    <w:rsid w:val="000065E6"/>
    <w:rsid w:val="00010D20"/>
    <w:rsid w:val="0001363E"/>
    <w:rsid w:val="00025B04"/>
    <w:rsid w:val="00030349"/>
    <w:rsid w:val="000311C0"/>
    <w:rsid w:val="0003317F"/>
    <w:rsid w:val="000364D9"/>
    <w:rsid w:val="000512F7"/>
    <w:rsid w:val="00062165"/>
    <w:rsid w:val="00071C40"/>
    <w:rsid w:val="000824FB"/>
    <w:rsid w:val="00083130"/>
    <w:rsid w:val="00091ABD"/>
    <w:rsid w:val="000A26C5"/>
    <w:rsid w:val="000D6929"/>
    <w:rsid w:val="000E7F03"/>
    <w:rsid w:val="00100C1F"/>
    <w:rsid w:val="00101EDB"/>
    <w:rsid w:val="0010749D"/>
    <w:rsid w:val="00120C0C"/>
    <w:rsid w:val="001235A4"/>
    <w:rsid w:val="00124173"/>
    <w:rsid w:val="00130BCC"/>
    <w:rsid w:val="00134214"/>
    <w:rsid w:val="00135E28"/>
    <w:rsid w:val="001403F2"/>
    <w:rsid w:val="00145CDE"/>
    <w:rsid w:val="00156E8E"/>
    <w:rsid w:val="001B0E7F"/>
    <w:rsid w:val="001C1773"/>
    <w:rsid w:val="001C368C"/>
    <w:rsid w:val="001C7E26"/>
    <w:rsid w:val="001D0634"/>
    <w:rsid w:val="001E6511"/>
    <w:rsid w:val="001E74D0"/>
    <w:rsid w:val="001E781F"/>
    <w:rsid w:val="00217523"/>
    <w:rsid w:val="002303C8"/>
    <w:rsid w:val="00233D4C"/>
    <w:rsid w:val="002448C0"/>
    <w:rsid w:val="00252728"/>
    <w:rsid w:val="00274BC2"/>
    <w:rsid w:val="00275B9E"/>
    <w:rsid w:val="002802F1"/>
    <w:rsid w:val="0029687C"/>
    <w:rsid w:val="002A4E2E"/>
    <w:rsid w:val="002B1083"/>
    <w:rsid w:val="002B3077"/>
    <w:rsid w:val="002B5CD5"/>
    <w:rsid w:val="002B5F69"/>
    <w:rsid w:val="002D34C0"/>
    <w:rsid w:val="002D3A4B"/>
    <w:rsid w:val="002D6C53"/>
    <w:rsid w:val="002E1474"/>
    <w:rsid w:val="00300D05"/>
    <w:rsid w:val="00305533"/>
    <w:rsid w:val="003230A7"/>
    <w:rsid w:val="00325CC1"/>
    <w:rsid w:val="00335032"/>
    <w:rsid w:val="00336032"/>
    <w:rsid w:val="003445AF"/>
    <w:rsid w:val="00357B43"/>
    <w:rsid w:val="00370121"/>
    <w:rsid w:val="00374479"/>
    <w:rsid w:val="00384E8F"/>
    <w:rsid w:val="00385CF5"/>
    <w:rsid w:val="003A1EFE"/>
    <w:rsid w:val="003C5829"/>
    <w:rsid w:val="003D0202"/>
    <w:rsid w:val="003D3172"/>
    <w:rsid w:val="003D586D"/>
    <w:rsid w:val="003E0BAC"/>
    <w:rsid w:val="003E7527"/>
    <w:rsid w:val="003F0C29"/>
    <w:rsid w:val="004002A6"/>
    <w:rsid w:val="004021B2"/>
    <w:rsid w:val="00402F31"/>
    <w:rsid w:val="0041263C"/>
    <w:rsid w:val="00415420"/>
    <w:rsid w:val="0042020B"/>
    <w:rsid w:val="0042085F"/>
    <w:rsid w:val="00421317"/>
    <w:rsid w:val="00435DA3"/>
    <w:rsid w:val="00436F9A"/>
    <w:rsid w:val="004410F6"/>
    <w:rsid w:val="00441F52"/>
    <w:rsid w:val="00457604"/>
    <w:rsid w:val="004612A7"/>
    <w:rsid w:val="00475EB7"/>
    <w:rsid w:val="00493308"/>
    <w:rsid w:val="00493DE7"/>
    <w:rsid w:val="00493E71"/>
    <w:rsid w:val="004A7866"/>
    <w:rsid w:val="004B40A6"/>
    <w:rsid w:val="004B5E18"/>
    <w:rsid w:val="004D2929"/>
    <w:rsid w:val="004D6C6C"/>
    <w:rsid w:val="004E57B0"/>
    <w:rsid w:val="005128FE"/>
    <w:rsid w:val="00524976"/>
    <w:rsid w:val="00535550"/>
    <w:rsid w:val="00535564"/>
    <w:rsid w:val="00554D7D"/>
    <w:rsid w:val="00557AA1"/>
    <w:rsid w:val="00563D1F"/>
    <w:rsid w:val="00580F12"/>
    <w:rsid w:val="0058488B"/>
    <w:rsid w:val="005A1FAE"/>
    <w:rsid w:val="005A4DF5"/>
    <w:rsid w:val="005B0818"/>
    <w:rsid w:val="005B79F1"/>
    <w:rsid w:val="005E035E"/>
    <w:rsid w:val="005E672B"/>
    <w:rsid w:val="005F2EBC"/>
    <w:rsid w:val="00625D3F"/>
    <w:rsid w:val="00640E57"/>
    <w:rsid w:val="006474F6"/>
    <w:rsid w:val="00655382"/>
    <w:rsid w:val="006562F0"/>
    <w:rsid w:val="0065767A"/>
    <w:rsid w:val="00662944"/>
    <w:rsid w:val="00662C83"/>
    <w:rsid w:val="00663C3A"/>
    <w:rsid w:val="00675E1D"/>
    <w:rsid w:val="00676FD0"/>
    <w:rsid w:val="00691560"/>
    <w:rsid w:val="00692C7A"/>
    <w:rsid w:val="00696954"/>
    <w:rsid w:val="006A53C5"/>
    <w:rsid w:val="006C1639"/>
    <w:rsid w:val="006C2FD3"/>
    <w:rsid w:val="006C6018"/>
    <w:rsid w:val="006D7CF0"/>
    <w:rsid w:val="006E2973"/>
    <w:rsid w:val="006E6540"/>
    <w:rsid w:val="006E665F"/>
    <w:rsid w:val="007139C4"/>
    <w:rsid w:val="007245D5"/>
    <w:rsid w:val="00724680"/>
    <w:rsid w:val="00726E06"/>
    <w:rsid w:val="00731787"/>
    <w:rsid w:val="00732C5A"/>
    <w:rsid w:val="00735FD5"/>
    <w:rsid w:val="00746CD5"/>
    <w:rsid w:val="00747CCB"/>
    <w:rsid w:val="007532B6"/>
    <w:rsid w:val="007704BD"/>
    <w:rsid w:val="0077569E"/>
    <w:rsid w:val="007766BA"/>
    <w:rsid w:val="00783C6A"/>
    <w:rsid w:val="007914A0"/>
    <w:rsid w:val="00791576"/>
    <w:rsid w:val="007A3D83"/>
    <w:rsid w:val="007A5462"/>
    <w:rsid w:val="007B32C8"/>
    <w:rsid w:val="007B3740"/>
    <w:rsid w:val="007B3BA5"/>
    <w:rsid w:val="007B48EC"/>
    <w:rsid w:val="007B4F72"/>
    <w:rsid w:val="007E0D0E"/>
    <w:rsid w:val="007E206D"/>
    <w:rsid w:val="007E4D1F"/>
    <w:rsid w:val="007F140B"/>
    <w:rsid w:val="007F202A"/>
    <w:rsid w:val="007F4568"/>
    <w:rsid w:val="00815277"/>
    <w:rsid w:val="00816499"/>
    <w:rsid w:val="00817EE1"/>
    <w:rsid w:val="0082398E"/>
    <w:rsid w:val="008254E9"/>
    <w:rsid w:val="00830970"/>
    <w:rsid w:val="00832F55"/>
    <w:rsid w:val="00837E0C"/>
    <w:rsid w:val="00843A93"/>
    <w:rsid w:val="00846AE3"/>
    <w:rsid w:val="00846E34"/>
    <w:rsid w:val="00854821"/>
    <w:rsid w:val="00864C6D"/>
    <w:rsid w:val="00870B64"/>
    <w:rsid w:val="0087450D"/>
    <w:rsid w:val="00876C21"/>
    <w:rsid w:val="00877AC3"/>
    <w:rsid w:val="00882A38"/>
    <w:rsid w:val="00883533"/>
    <w:rsid w:val="00887350"/>
    <w:rsid w:val="008A679D"/>
    <w:rsid w:val="008B5CEA"/>
    <w:rsid w:val="008B5EB5"/>
    <w:rsid w:val="008B7923"/>
    <w:rsid w:val="008C558B"/>
    <w:rsid w:val="008D34F4"/>
    <w:rsid w:val="008E3CED"/>
    <w:rsid w:val="008E769D"/>
    <w:rsid w:val="008F76A2"/>
    <w:rsid w:val="008F7F8B"/>
    <w:rsid w:val="009130C6"/>
    <w:rsid w:val="00914DB4"/>
    <w:rsid w:val="009209CA"/>
    <w:rsid w:val="00936D83"/>
    <w:rsid w:val="00943AE7"/>
    <w:rsid w:val="00945FCA"/>
    <w:rsid w:val="0095372F"/>
    <w:rsid w:val="00954D5A"/>
    <w:rsid w:val="00956583"/>
    <w:rsid w:val="0096342D"/>
    <w:rsid w:val="009753E9"/>
    <w:rsid w:val="00987491"/>
    <w:rsid w:val="009A09DB"/>
    <w:rsid w:val="009A7043"/>
    <w:rsid w:val="009B5C9F"/>
    <w:rsid w:val="009D42E1"/>
    <w:rsid w:val="009D6B6A"/>
    <w:rsid w:val="009E0303"/>
    <w:rsid w:val="009E6038"/>
    <w:rsid w:val="009F2E43"/>
    <w:rsid w:val="009F62B1"/>
    <w:rsid w:val="00A14C54"/>
    <w:rsid w:val="00A22BB6"/>
    <w:rsid w:val="00A26EB6"/>
    <w:rsid w:val="00A30665"/>
    <w:rsid w:val="00A34ACB"/>
    <w:rsid w:val="00A45B7B"/>
    <w:rsid w:val="00A54642"/>
    <w:rsid w:val="00A61D67"/>
    <w:rsid w:val="00A7321E"/>
    <w:rsid w:val="00A84FC7"/>
    <w:rsid w:val="00A91371"/>
    <w:rsid w:val="00A91456"/>
    <w:rsid w:val="00A930A0"/>
    <w:rsid w:val="00AA35A5"/>
    <w:rsid w:val="00AA5F49"/>
    <w:rsid w:val="00AB4E8A"/>
    <w:rsid w:val="00AC270F"/>
    <w:rsid w:val="00AD61B0"/>
    <w:rsid w:val="00AD6916"/>
    <w:rsid w:val="00AE3621"/>
    <w:rsid w:val="00AE4CC0"/>
    <w:rsid w:val="00AE4D46"/>
    <w:rsid w:val="00AF10A5"/>
    <w:rsid w:val="00AF4B4A"/>
    <w:rsid w:val="00AF4FF1"/>
    <w:rsid w:val="00AF553E"/>
    <w:rsid w:val="00B03F1F"/>
    <w:rsid w:val="00B13D1C"/>
    <w:rsid w:val="00B35E27"/>
    <w:rsid w:val="00B448B7"/>
    <w:rsid w:val="00B460A3"/>
    <w:rsid w:val="00B47887"/>
    <w:rsid w:val="00B6343C"/>
    <w:rsid w:val="00B728F5"/>
    <w:rsid w:val="00B832DF"/>
    <w:rsid w:val="00B94191"/>
    <w:rsid w:val="00B976F5"/>
    <w:rsid w:val="00B97955"/>
    <w:rsid w:val="00BB087F"/>
    <w:rsid w:val="00BB7676"/>
    <w:rsid w:val="00BC0606"/>
    <w:rsid w:val="00BC3200"/>
    <w:rsid w:val="00BD69B9"/>
    <w:rsid w:val="00BE3387"/>
    <w:rsid w:val="00BF0549"/>
    <w:rsid w:val="00C006A7"/>
    <w:rsid w:val="00C01961"/>
    <w:rsid w:val="00C04896"/>
    <w:rsid w:val="00C255D9"/>
    <w:rsid w:val="00C256C7"/>
    <w:rsid w:val="00C26197"/>
    <w:rsid w:val="00C30184"/>
    <w:rsid w:val="00C37D6B"/>
    <w:rsid w:val="00C4354C"/>
    <w:rsid w:val="00C46B51"/>
    <w:rsid w:val="00C47F57"/>
    <w:rsid w:val="00C56046"/>
    <w:rsid w:val="00C56935"/>
    <w:rsid w:val="00C633F2"/>
    <w:rsid w:val="00C65F84"/>
    <w:rsid w:val="00C775CE"/>
    <w:rsid w:val="00C8102C"/>
    <w:rsid w:val="00C836FF"/>
    <w:rsid w:val="00C94BB6"/>
    <w:rsid w:val="00CA2853"/>
    <w:rsid w:val="00CA3D0B"/>
    <w:rsid w:val="00CB2014"/>
    <w:rsid w:val="00CC1030"/>
    <w:rsid w:val="00CC3A4E"/>
    <w:rsid w:val="00CC59FD"/>
    <w:rsid w:val="00CD69DF"/>
    <w:rsid w:val="00CE4FEB"/>
    <w:rsid w:val="00CE74B9"/>
    <w:rsid w:val="00CF0967"/>
    <w:rsid w:val="00CF0D55"/>
    <w:rsid w:val="00CF22CC"/>
    <w:rsid w:val="00D056B0"/>
    <w:rsid w:val="00D07D49"/>
    <w:rsid w:val="00D128F8"/>
    <w:rsid w:val="00D17BE5"/>
    <w:rsid w:val="00D21FA6"/>
    <w:rsid w:val="00D230F3"/>
    <w:rsid w:val="00D2646A"/>
    <w:rsid w:val="00D32AD8"/>
    <w:rsid w:val="00D3561E"/>
    <w:rsid w:val="00D37DB7"/>
    <w:rsid w:val="00D55B4B"/>
    <w:rsid w:val="00D66DF4"/>
    <w:rsid w:val="00D737A7"/>
    <w:rsid w:val="00D7499B"/>
    <w:rsid w:val="00D819C7"/>
    <w:rsid w:val="00D86461"/>
    <w:rsid w:val="00D965EC"/>
    <w:rsid w:val="00DA1C80"/>
    <w:rsid w:val="00DA6422"/>
    <w:rsid w:val="00DC13AC"/>
    <w:rsid w:val="00DD1971"/>
    <w:rsid w:val="00DD50F3"/>
    <w:rsid w:val="00DE1E0A"/>
    <w:rsid w:val="00DE45AA"/>
    <w:rsid w:val="00DF2EBC"/>
    <w:rsid w:val="00DF5AB9"/>
    <w:rsid w:val="00E050A0"/>
    <w:rsid w:val="00E0706C"/>
    <w:rsid w:val="00E11DA3"/>
    <w:rsid w:val="00E16FF7"/>
    <w:rsid w:val="00E20178"/>
    <w:rsid w:val="00E319EA"/>
    <w:rsid w:val="00E365CE"/>
    <w:rsid w:val="00E40434"/>
    <w:rsid w:val="00E43193"/>
    <w:rsid w:val="00E44743"/>
    <w:rsid w:val="00E50402"/>
    <w:rsid w:val="00E62269"/>
    <w:rsid w:val="00E748F1"/>
    <w:rsid w:val="00E8303D"/>
    <w:rsid w:val="00E86030"/>
    <w:rsid w:val="00E87D30"/>
    <w:rsid w:val="00EA26BA"/>
    <w:rsid w:val="00EB0F0B"/>
    <w:rsid w:val="00EB43D6"/>
    <w:rsid w:val="00EC306A"/>
    <w:rsid w:val="00EC3533"/>
    <w:rsid w:val="00ED53AE"/>
    <w:rsid w:val="00ED5E90"/>
    <w:rsid w:val="00EF3256"/>
    <w:rsid w:val="00F10A81"/>
    <w:rsid w:val="00F1180E"/>
    <w:rsid w:val="00F12D60"/>
    <w:rsid w:val="00F41E26"/>
    <w:rsid w:val="00F60586"/>
    <w:rsid w:val="00F624B0"/>
    <w:rsid w:val="00F633E6"/>
    <w:rsid w:val="00F75C05"/>
    <w:rsid w:val="00F81A94"/>
    <w:rsid w:val="00F82B7F"/>
    <w:rsid w:val="00F93864"/>
    <w:rsid w:val="00F9474D"/>
    <w:rsid w:val="00FA3470"/>
    <w:rsid w:val="00FB4444"/>
    <w:rsid w:val="00FC78EF"/>
    <w:rsid w:val="00FD169A"/>
    <w:rsid w:val="00FF2EC8"/>
    <w:rsid w:val="00FF3559"/>
  </w:rsids>
  <m:mathPr>
    <m:mathFont m:val="Cambria Math"/>
    <m:brkBin m:val="before"/>
    <m:brkBinSub m:val="--"/>
    <m:smallFrac m:val="0"/>
    <m:dispDef m:val="0"/>
    <m:lMargin m:val="0"/>
    <m:rMargin m:val="0"/>
    <m:defJc m:val="centerGroup"/>
    <m:wrapRight/>
    <m:intLim m:val="subSup"/>
    <m:naryLim m:val="subSup"/>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7C1C27"/>
  <w15:docId w15:val="{F0A60899-0F59-4FE3-B604-795CBD487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6E06"/>
    <w:pPr>
      <w:widowControl w:val="0"/>
      <w:jc w:val="both"/>
    </w:pPr>
    <w:rPr>
      <w:rFonts w:ascii="Times New Roman" w:hAnsi="Times New Roman"/>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basedOn w:val="Normal"/>
    <w:next w:val="Normal"/>
    <w:uiPriority w:val="1"/>
    <w:qFormat/>
    <w:rsid w:val="007B3740"/>
  </w:style>
  <w:style w:type="table" w:styleId="TableGrid">
    <w:name w:val="Table Grid"/>
    <w:basedOn w:val="TableNormal"/>
    <w:uiPriority w:val="59"/>
    <w:rsid w:val="00E1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7766BA"/>
    <w:pPr>
      <w:widowControl/>
      <w:spacing w:before="100" w:beforeAutospacing="1" w:after="100" w:afterAutospacing="1"/>
      <w:jc w:val="left"/>
    </w:pPr>
    <w:rPr>
      <w:rFonts w:eastAsia="Times New Roman"/>
      <w:szCs w:val="24"/>
      <w:lang w:eastAsia="lv-LV"/>
    </w:rPr>
  </w:style>
  <w:style w:type="character" w:styleId="CommentReference">
    <w:name w:val="annotation reference"/>
    <w:basedOn w:val="DefaultParagraphFont"/>
    <w:uiPriority w:val="99"/>
    <w:semiHidden/>
    <w:unhideWhenUsed/>
    <w:rsid w:val="00AE4CC0"/>
    <w:rPr>
      <w:sz w:val="16"/>
      <w:szCs w:val="16"/>
    </w:rPr>
  </w:style>
  <w:style w:type="paragraph" w:styleId="CommentText">
    <w:name w:val="annotation text"/>
    <w:basedOn w:val="Normal"/>
    <w:link w:val="CommentTextChar"/>
    <w:uiPriority w:val="99"/>
    <w:unhideWhenUsed/>
    <w:rsid w:val="00AE4CC0"/>
    <w:rPr>
      <w:sz w:val="20"/>
      <w:szCs w:val="20"/>
    </w:rPr>
  </w:style>
  <w:style w:type="character" w:customStyle="1" w:styleId="CommentTextChar">
    <w:name w:val="Comment Text Char"/>
    <w:basedOn w:val="DefaultParagraphFont"/>
    <w:link w:val="CommentText"/>
    <w:uiPriority w:val="99"/>
    <w:rsid w:val="00AE4CC0"/>
    <w:rPr>
      <w:rFonts w:ascii="Times New Roman" w:hAnsi="Times New Roman"/>
      <w:lang w:eastAsia="en-US"/>
    </w:rPr>
  </w:style>
  <w:style w:type="paragraph" w:styleId="CommentSubject">
    <w:name w:val="annotation subject"/>
    <w:basedOn w:val="CommentText"/>
    <w:next w:val="CommentText"/>
    <w:link w:val="CommentSubjectChar"/>
    <w:uiPriority w:val="99"/>
    <w:semiHidden/>
    <w:unhideWhenUsed/>
    <w:rsid w:val="00AE4CC0"/>
    <w:rPr>
      <w:b/>
      <w:bCs/>
    </w:rPr>
  </w:style>
  <w:style w:type="character" w:customStyle="1" w:styleId="CommentSubjectChar">
    <w:name w:val="Comment Subject Char"/>
    <w:basedOn w:val="CommentTextChar"/>
    <w:link w:val="CommentSubject"/>
    <w:uiPriority w:val="99"/>
    <w:semiHidden/>
    <w:rsid w:val="00AE4CC0"/>
    <w:rPr>
      <w:rFonts w:ascii="Times New Roman" w:hAnsi="Times New Roman"/>
      <w:b/>
      <w:bCs/>
      <w:lang w:eastAsia="en-US"/>
    </w:rPr>
  </w:style>
  <w:style w:type="character" w:styleId="PlaceholderText">
    <w:name w:val="Placeholder Text"/>
    <w:basedOn w:val="DefaultParagraphFont"/>
    <w:uiPriority w:val="99"/>
    <w:semiHidden/>
    <w:rsid w:val="008254E9"/>
    <w:rPr>
      <w:color w:val="808080"/>
    </w:rPr>
  </w:style>
  <w:style w:type="paragraph" w:styleId="FootnoteText">
    <w:name w:val="footnote text"/>
    <w:basedOn w:val="Normal"/>
    <w:link w:val="FootnoteTextChar"/>
    <w:uiPriority w:val="99"/>
    <w:semiHidden/>
    <w:unhideWhenUsed/>
    <w:rsid w:val="002B5CD5"/>
    <w:rPr>
      <w:sz w:val="20"/>
      <w:szCs w:val="20"/>
    </w:rPr>
  </w:style>
  <w:style w:type="character" w:customStyle="1" w:styleId="FootnoteTextChar">
    <w:name w:val="Footnote Text Char"/>
    <w:basedOn w:val="DefaultParagraphFont"/>
    <w:link w:val="FootnoteText"/>
    <w:uiPriority w:val="99"/>
    <w:semiHidden/>
    <w:rsid w:val="002B5CD5"/>
    <w:rPr>
      <w:rFonts w:ascii="Times New Roman" w:hAnsi="Times New Roman"/>
      <w:lang w:eastAsia="en-US"/>
    </w:rPr>
  </w:style>
  <w:style w:type="character" w:styleId="FootnoteReference">
    <w:name w:val="footnote reference"/>
    <w:basedOn w:val="DefaultParagraphFont"/>
    <w:uiPriority w:val="99"/>
    <w:semiHidden/>
    <w:unhideWhenUsed/>
    <w:rsid w:val="002B5CD5"/>
    <w:rPr>
      <w:vertAlign w:val="superscript"/>
    </w:rPr>
  </w:style>
  <w:style w:type="paragraph" w:styleId="ListParagraph">
    <w:name w:val="List Paragraph"/>
    <w:basedOn w:val="Normal"/>
    <w:uiPriority w:val="34"/>
    <w:qFormat/>
    <w:rsid w:val="0058488B"/>
    <w:pPr>
      <w:ind w:left="720"/>
      <w:contextualSpacing/>
    </w:pPr>
  </w:style>
  <w:style w:type="character" w:customStyle="1" w:styleId="UnresolvedMention">
    <w:name w:val="Unresolved Mention"/>
    <w:basedOn w:val="DefaultParagraphFont"/>
    <w:uiPriority w:val="99"/>
    <w:semiHidden/>
    <w:unhideWhenUsed/>
    <w:rsid w:val="00DC13AC"/>
    <w:rPr>
      <w:color w:val="605E5C"/>
      <w:shd w:val="clear" w:color="auto" w:fill="E1DFDD"/>
    </w:rPr>
  </w:style>
  <w:style w:type="paragraph" w:styleId="BodyTextIndent">
    <w:name w:val="Body Text Indent"/>
    <w:basedOn w:val="Normal"/>
    <w:link w:val="BodyTextIndentChar"/>
    <w:uiPriority w:val="99"/>
    <w:unhideWhenUsed/>
    <w:rsid w:val="00DA1C80"/>
    <w:pPr>
      <w:widowControl/>
      <w:spacing w:after="120"/>
      <w:ind w:left="283"/>
      <w:jc w:val="left"/>
    </w:pPr>
    <w:rPr>
      <w:rFonts w:ascii="RimHelvetica" w:eastAsiaTheme="minorHAnsi" w:hAnsi="RimHelvetica" w:cs="Calibri"/>
      <w:sz w:val="20"/>
      <w:szCs w:val="20"/>
    </w:rPr>
  </w:style>
  <w:style w:type="character" w:customStyle="1" w:styleId="BodyTextIndentChar">
    <w:name w:val="Body Text Indent Char"/>
    <w:basedOn w:val="DefaultParagraphFont"/>
    <w:link w:val="BodyTextIndent"/>
    <w:uiPriority w:val="99"/>
    <w:rsid w:val="00DA1C80"/>
    <w:rPr>
      <w:rFonts w:ascii="RimHelvetica" w:eastAsiaTheme="minorHAnsi" w:hAnsi="RimHelvetica" w:cs="Calibri"/>
      <w:lang w:eastAsia="en-US"/>
    </w:rPr>
  </w:style>
  <w:style w:type="paragraph" w:styleId="NormalWeb">
    <w:name w:val="Normal (Web)"/>
    <w:basedOn w:val="Normal"/>
    <w:uiPriority w:val="99"/>
    <w:rsid w:val="00135E28"/>
    <w:pPr>
      <w:widowControl/>
      <w:spacing w:before="75" w:after="75"/>
      <w:jc w:val="left"/>
    </w:pPr>
    <w:rPr>
      <w:rFonts w:eastAsia="Times New Roman"/>
      <w:szCs w:val="24"/>
      <w:lang w:eastAsia="lv-LV"/>
    </w:rPr>
  </w:style>
  <w:style w:type="paragraph" w:styleId="EndnoteText">
    <w:name w:val="endnote text"/>
    <w:basedOn w:val="Normal"/>
    <w:link w:val="EndnoteTextChar"/>
    <w:uiPriority w:val="99"/>
    <w:semiHidden/>
    <w:unhideWhenUsed/>
    <w:rsid w:val="00554D7D"/>
    <w:rPr>
      <w:sz w:val="20"/>
      <w:szCs w:val="20"/>
    </w:rPr>
  </w:style>
  <w:style w:type="character" w:customStyle="1" w:styleId="EndnoteTextChar">
    <w:name w:val="Endnote Text Char"/>
    <w:basedOn w:val="DefaultParagraphFont"/>
    <w:link w:val="EndnoteText"/>
    <w:uiPriority w:val="99"/>
    <w:semiHidden/>
    <w:rsid w:val="00554D7D"/>
    <w:rPr>
      <w:rFonts w:ascii="Times New Roman" w:hAnsi="Times New Roman"/>
      <w:lang w:eastAsia="en-US"/>
    </w:rPr>
  </w:style>
  <w:style w:type="character" w:styleId="EndnoteReference">
    <w:name w:val="endnote reference"/>
    <w:basedOn w:val="DefaultParagraphFont"/>
    <w:uiPriority w:val="99"/>
    <w:semiHidden/>
    <w:unhideWhenUsed/>
    <w:rsid w:val="00554D7D"/>
    <w:rPr>
      <w:vertAlign w:val="superscript"/>
    </w:rPr>
  </w:style>
  <w:style w:type="paragraph" w:customStyle="1" w:styleId="tv213">
    <w:name w:val="tv213"/>
    <w:basedOn w:val="Normal"/>
    <w:rsid w:val="00BE3387"/>
    <w:pPr>
      <w:widowControl/>
      <w:spacing w:before="100" w:beforeAutospacing="1" w:after="100" w:afterAutospacing="1"/>
      <w:jc w:val="left"/>
    </w:pPr>
    <w:rPr>
      <w:rFonts w:eastAsia="Times New Roman"/>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805958">
      <w:bodyDiv w:val="1"/>
      <w:marLeft w:val="0"/>
      <w:marRight w:val="0"/>
      <w:marTop w:val="0"/>
      <w:marBottom w:val="0"/>
      <w:divBdr>
        <w:top w:val="none" w:sz="0" w:space="0" w:color="auto"/>
        <w:left w:val="none" w:sz="0" w:space="0" w:color="auto"/>
        <w:bottom w:val="none" w:sz="0" w:space="0" w:color="auto"/>
        <w:right w:val="none" w:sz="0" w:space="0" w:color="auto"/>
      </w:divBdr>
    </w:div>
    <w:div w:id="710107948">
      <w:bodyDiv w:val="1"/>
      <w:marLeft w:val="0"/>
      <w:marRight w:val="0"/>
      <w:marTop w:val="0"/>
      <w:marBottom w:val="0"/>
      <w:divBdr>
        <w:top w:val="none" w:sz="0" w:space="0" w:color="auto"/>
        <w:left w:val="none" w:sz="0" w:space="0" w:color="auto"/>
        <w:bottom w:val="none" w:sz="0" w:space="0" w:color="auto"/>
        <w:right w:val="none" w:sz="0" w:space="0" w:color="auto"/>
      </w:divBdr>
    </w:div>
    <w:div w:id="717170645">
      <w:bodyDiv w:val="1"/>
      <w:marLeft w:val="0"/>
      <w:marRight w:val="0"/>
      <w:marTop w:val="0"/>
      <w:marBottom w:val="0"/>
      <w:divBdr>
        <w:top w:val="none" w:sz="0" w:space="0" w:color="auto"/>
        <w:left w:val="none" w:sz="0" w:space="0" w:color="auto"/>
        <w:bottom w:val="none" w:sz="0" w:space="0" w:color="auto"/>
        <w:right w:val="none" w:sz="0" w:space="0" w:color="auto"/>
      </w:divBdr>
      <w:divsChild>
        <w:div w:id="941108887">
          <w:marLeft w:val="0"/>
          <w:marRight w:val="0"/>
          <w:marTop w:val="0"/>
          <w:marBottom w:val="0"/>
          <w:divBdr>
            <w:top w:val="none" w:sz="0" w:space="0" w:color="auto"/>
            <w:left w:val="none" w:sz="0" w:space="0" w:color="auto"/>
            <w:bottom w:val="none" w:sz="0" w:space="0" w:color="auto"/>
            <w:right w:val="none" w:sz="0" w:space="0" w:color="auto"/>
          </w:divBdr>
          <w:divsChild>
            <w:div w:id="507133098">
              <w:marLeft w:val="0"/>
              <w:marRight w:val="0"/>
              <w:marTop w:val="0"/>
              <w:marBottom w:val="0"/>
              <w:divBdr>
                <w:top w:val="none" w:sz="0" w:space="0" w:color="auto"/>
                <w:left w:val="none" w:sz="0" w:space="0" w:color="auto"/>
                <w:bottom w:val="none" w:sz="0" w:space="0" w:color="auto"/>
                <w:right w:val="none" w:sz="0" w:space="0" w:color="auto"/>
              </w:divBdr>
            </w:div>
            <w:div w:id="1779790342">
              <w:marLeft w:val="0"/>
              <w:marRight w:val="0"/>
              <w:marTop w:val="0"/>
              <w:marBottom w:val="0"/>
              <w:divBdr>
                <w:top w:val="none" w:sz="0" w:space="0" w:color="auto"/>
                <w:left w:val="none" w:sz="0" w:space="0" w:color="auto"/>
                <w:bottom w:val="none" w:sz="0" w:space="0" w:color="auto"/>
                <w:right w:val="none" w:sz="0" w:space="0" w:color="auto"/>
              </w:divBdr>
            </w:div>
            <w:div w:id="1860047988">
              <w:marLeft w:val="0"/>
              <w:marRight w:val="0"/>
              <w:marTop w:val="0"/>
              <w:marBottom w:val="0"/>
              <w:divBdr>
                <w:top w:val="none" w:sz="0" w:space="0" w:color="auto"/>
                <w:left w:val="none" w:sz="0" w:space="0" w:color="auto"/>
                <w:bottom w:val="none" w:sz="0" w:space="0" w:color="auto"/>
                <w:right w:val="none" w:sz="0" w:space="0" w:color="auto"/>
              </w:divBdr>
            </w:div>
          </w:divsChild>
        </w:div>
        <w:div w:id="1476489168">
          <w:marLeft w:val="0"/>
          <w:marRight w:val="0"/>
          <w:marTop w:val="0"/>
          <w:marBottom w:val="0"/>
          <w:divBdr>
            <w:top w:val="none" w:sz="0" w:space="0" w:color="auto"/>
            <w:left w:val="none" w:sz="0" w:space="0" w:color="auto"/>
            <w:bottom w:val="none" w:sz="0" w:space="0" w:color="auto"/>
            <w:right w:val="none" w:sz="0" w:space="0" w:color="auto"/>
          </w:divBdr>
          <w:divsChild>
            <w:div w:id="1518038126">
              <w:marLeft w:val="0"/>
              <w:marRight w:val="0"/>
              <w:marTop w:val="0"/>
              <w:marBottom w:val="0"/>
              <w:divBdr>
                <w:top w:val="none" w:sz="0" w:space="0" w:color="auto"/>
                <w:left w:val="none" w:sz="0" w:space="0" w:color="auto"/>
                <w:bottom w:val="none" w:sz="0" w:space="0" w:color="auto"/>
                <w:right w:val="none" w:sz="0" w:space="0" w:color="auto"/>
              </w:divBdr>
            </w:div>
            <w:div w:id="1692491136">
              <w:marLeft w:val="0"/>
              <w:marRight w:val="0"/>
              <w:marTop w:val="0"/>
              <w:marBottom w:val="0"/>
              <w:divBdr>
                <w:top w:val="none" w:sz="0" w:space="0" w:color="auto"/>
                <w:left w:val="none" w:sz="0" w:space="0" w:color="auto"/>
                <w:bottom w:val="none" w:sz="0" w:space="0" w:color="auto"/>
                <w:right w:val="none" w:sz="0" w:space="0" w:color="auto"/>
              </w:divBdr>
            </w:div>
            <w:div w:id="600188458">
              <w:marLeft w:val="0"/>
              <w:marRight w:val="0"/>
              <w:marTop w:val="0"/>
              <w:marBottom w:val="0"/>
              <w:divBdr>
                <w:top w:val="none" w:sz="0" w:space="0" w:color="auto"/>
                <w:left w:val="none" w:sz="0" w:space="0" w:color="auto"/>
                <w:bottom w:val="none" w:sz="0" w:space="0" w:color="auto"/>
                <w:right w:val="none" w:sz="0" w:space="0" w:color="auto"/>
              </w:divBdr>
            </w:div>
            <w:div w:id="888297197">
              <w:marLeft w:val="0"/>
              <w:marRight w:val="0"/>
              <w:marTop w:val="0"/>
              <w:marBottom w:val="0"/>
              <w:divBdr>
                <w:top w:val="none" w:sz="0" w:space="0" w:color="auto"/>
                <w:left w:val="none" w:sz="0" w:space="0" w:color="auto"/>
                <w:bottom w:val="none" w:sz="0" w:space="0" w:color="auto"/>
                <w:right w:val="none" w:sz="0" w:space="0" w:color="auto"/>
              </w:divBdr>
            </w:div>
            <w:div w:id="1725253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809699">
      <w:bodyDiv w:val="1"/>
      <w:marLeft w:val="0"/>
      <w:marRight w:val="0"/>
      <w:marTop w:val="0"/>
      <w:marBottom w:val="0"/>
      <w:divBdr>
        <w:top w:val="none" w:sz="0" w:space="0" w:color="auto"/>
        <w:left w:val="none" w:sz="0" w:space="0" w:color="auto"/>
        <w:bottom w:val="none" w:sz="0" w:space="0" w:color="auto"/>
        <w:right w:val="none" w:sz="0" w:space="0" w:color="auto"/>
      </w:divBdr>
    </w:div>
    <w:div w:id="1127042337">
      <w:bodyDiv w:val="1"/>
      <w:marLeft w:val="0"/>
      <w:marRight w:val="0"/>
      <w:marTop w:val="0"/>
      <w:marBottom w:val="0"/>
      <w:divBdr>
        <w:top w:val="none" w:sz="0" w:space="0" w:color="auto"/>
        <w:left w:val="none" w:sz="0" w:space="0" w:color="auto"/>
        <w:bottom w:val="none" w:sz="0" w:space="0" w:color="auto"/>
        <w:right w:val="none" w:sz="0" w:space="0" w:color="auto"/>
      </w:divBdr>
    </w:div>
    <w:div w:id="1288120699">
      <w:bodyDiv w:val="1"/>
      <w:marLeft w:val="0"/>
      <w:marRight w:val="0"/>
      <w:marTop w:val="0"/>
      <w:marBottom w:val="0"/>
      <w:divBdr>
        <w:top w:val="none" w:sz="0" w:space="0" w:color="auto"/>
        <w:left w:val="none" w:sz="0" w:space="0" w:color="auto"/>
        <w:bottom w:val="none" w:sz="0" w:space="0" w:color="auto"/>
        <w:right w:val="none" w:sz="0" w:space="0" w:color="auto"/>
      </w:divBdr>
    </w:div>
    <w:div w:id="1385448642">
      <w:bodyDiv w:val="1"/>
      <w:marLeft w:val="0"/>
      <w:marRight w:val="0"/>
      <w:marTop w:val="0"/>
      <w:marBottom w:val="0"/>
      <w:divBdr>
        <w:top w:val="none" w:sz="0" w:space="0" w:color="auto"/>
        <w:left w:val="none" w:sz="0" w:space="0" w:color="auto"/>
        <w:bottom w:val="none" w:sz="0" w:space="0" w:color="auto"/>
        <w:right w:val="none" w:sz="0" w:space="0" w:color="auto"/>
      </w:divBdr>
    </w:div>
    <w:div w:id="17613701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275045-kreditiestazu-un-ieguldijumu-brokeru-sabiedribu-darbibas-atjaunosanas-un-noregulejuma-likum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ikumi.lv/ta/id/275045-kreditiestazu-un-ieguldijumu-brokeru-sabiedribu-darbibas-atjaunosanas-un-noregulejuma-likums"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8FE6CD-D22C-40D4-902D-CE29E0756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27627</Words>
  <Characters>15748</Characters>
  <Application>Microsoft Office Word</Application>
  <DocSecurity>0</DocSecurity>
  <Lines>131</Lines>
  <Paragraphs>86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Tieslietu Sektors</Company>
  <LinksUpToDate>false</LinksUpToDate>
  <CharactersWithSpaces>43289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Liga Kokare-Zviedre</dc:creator>
  <cp:lastModifiedBy>Aivis Hammers</cp:lastModifiedBy>
  <cp:revision>2</cp:revision>
  <cp:lastPrinted>2015-01-09T08:13:00Z</cp:lastPrinted>
  <dcterms:created xsi:type="dcterms:W3CDTF">2021-03-26T09:47:00Z</dcterms:created>
  <dcterms:modified xsi:type="dcterms:W3CDTF">2021-03-26T09:47:00Z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