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tiem personas datiem, kas iegūti un apstrādāti no Datu devēju informācijas sistēmām, personas datu pārzinis ir tas Datu devējs, kurš ir atbildīgs par personas datu apstrādi attiecīgajā Datu devēja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notācijā paskaidrots, ka Noteikumu projektā tiek nodalīta atbildība attiecībā uz personas datiem nosakot, ka DAGR pārzinis atbild tikai par tiem personas datiem, kas nepieciešami, lai nodrošinātu identificētu piekļuvi DAGR darbības organizēšanai (atbilstoši Ministru kabineta 2015.gada 28.jūlija noteikumu Nr. 442 “Kārtība, kādā tiek nodrošināta informācijas un komunikācijas tehnoloģiju sistēmu atbilstība minimālajām drošības prasībām” 15.10 un 15.11 apakšpunktam), savukārt par personas datiem, kuri ir izvietoti izplatīšanai no citām informācijas sistēmām, atbild datu devējs, kurš ir atbildīgi par personas datu apstrādi attiecīgajā datu devēja informācijas sistēmā. Datu devēja noteiktas datu replikācija tiks izvietota izplatīšanai DAGR datu krātuvē katram datu devējam paredzētā krātuves vietnē, kur šiem datiem varēs piekļūt un tos varēs apstrādāt tikai konkrētais datu devējs. DAGR netiks veikta dažādu datu devēju datu sasaiste (savietošana) pēc unikāla identifikatora vai klasifikatora. DAGR pārzinim nebūs tiesības piekļūt un apstrādāt datu devēja datus DAGR datu krātuvē, kā arī to neparedzēs DAGR programmatūra.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un anotāciju attiecībā uz platformas pārziņa atbildību par platformā izvietoto datu apstrādi glabāšanu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Kuzņecova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Datu devējs vai Datu saņēmējs, lai nodrošinātu datu apriti, izmantojot Datu izplatīšanas un pārvaldības platformu, iesniedz Pārzinim, izmantojot oficiālo elektronisko adresi, attiecīgu pieteikumu. Pārzinis lietošanas rokasgrāmatā nosaka pieteikuma formu, kā arī konsultē Datu devēju vai Datu saņēmēju par pieteikuma aizpildīšanu.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noteikumus ar regulējumu vai paskaidrojošu informāciju anotācijā, kur var atrast pieteikuma iesniegumu Datu izplatīšanas un pārvaldības platformai , ja lietotājs nav autentificējies pašapkalpošanās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Kuzņecova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Gadījumos, kad Datu saņēmējs savu funkciju un uzdevumu izpildei nevar vienoties ar Datu devēju par nepieciešamo datu apjomu Datu saņēmējam izmantojot Datu izplatīšanas un pārvaldības platformu un slēdzot vienošanos Valsts informācijas resursu, sistēmu un sadarbspējas informācijas sistēmā, Datu saņēmējs ziņo par radušos situāciju Valsts kancelejai.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38. punkta redakcija paredz par nesadarbību informēt Valsts kanceleju, savukārt,  Valsts pārvaldes iekārtas likuma 56.panta otrā daļa  par atteikumu sadarboties noteic informēt augstāku iestādi. Lūdzam anotācijā paskaidrot, kāpēc tieši uz DAGR izmantošanu ir cita informēšanas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Kuzņecova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Datu devējs datus, tajā skaitā personas datus, Datu izplatīšanas un pārvaldības platformā izvieto izplatīšanai termiņā, kas noteikts saskaņā ar attiecīgās jomas normatīvajos aktos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visos nodokļu jomu regulējošajos normatīvajos aktos ir noteikts informācijas glabāšanas termiņš, bet  VID informācijas sistēmu darbību regulējošajos noteikumos paredzēts noteikt vispārēju informācijas glabāšanas termiņu 60 mēnešus. VID uzkrātās informācijas glabāšanas termiņi ir saistīti ar  Arhīvu likumā, likumā "Par valsts sociālo apdrošināšanu " vai citos ārējos normatīvos aktos noteikto pienākumu izpildi un šādai informācijai glabāšanas termiņš nosakāms līdz 75 gadiem, tāpēc šādu informāciju nav samērīgi turēt paltformā.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43.punkta redakciju, ka Datu devējs izvieto datus, tai skaitā personas datus atbilstoši datu saņēmēja prasībām, normatīvos aktos noteiktajām prasībām, nepārsniedzot datu devējam noteikto informācijas glabāšanas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Kuzņecova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Datu saņēmējs – Latvijas republikā reģistrēta institūcija vai privāto tiesību juridiskā persona, kas saņem datus izmantojot Datu izplatīšanas un pārvaldības platformu.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2.2.apakšpunktā labot pārrakstīšanas kļūdu un vārdu "republika" rakstīt ar lielo sākuma burtu.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Savickis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6.punkta pēdējo rindkopu izteikt šāda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finansējuma pieprasījumu 7 amata vietām VARAM ir iekļāvusi prioritārā pasākuma pieteikumā Nr. 21_02_P “Valsts IKT profesionalizācija un kiberdrošības noturības uzlabošana valstī - Valsts digitālās attīstības aģentūra”, kas iesniegts Finanšu ministrijā saskaņā ar likumprojekta “Par valsts budžetu 2024. gadam un budžeta ietvaru 2024., 2025. un 2026. gadam” sagatavošanas grafikā noteikto. Gadījumā, ja attiecīgais papildu finansējums likumprojekta “Par valsts budžetu 2024. gadam un budžeta ietvaru 2024., 2025. un 2026. gadam” sagatavošanas procesā netiek piešķirts, DAGR tiks nodrošināta uzturēšana esošā finansējuma ietvarā tikai apjomā, lai nodrošinātu datu apriti DAGR projekta ietvarā pieslēgtajiem datu devējiem neveicot papildus datu devēju pieslēgšanu, kamēr papildu nepieciešamais valsts budžeta finansējums plānotajām papildus aktivitātēm tiek piešķirts nākamo gadu valsts budžeta likumprojekta sagatavošanas procesā, VARAM iesniedzot attiecīgu prioritārā pasākuma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anotācijas 3. sadaļas punktā “Cita informācija” pirmās rindkopas pēdējo teikumu, tā vietā norādot, ka informācija par finansējuma jautājumu risinājumiem norādīta šīs sadaļas 6.punktā, kā arī Ministru kabineta protokollēmumā.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Vides aizsardzības un reģionālās attīstības ministrijai (turpmāk – VARAM) pēc Eiropas Savienības fonda 2014.-2020. gada plānošanas perioda projekta Nr.2.2.1.1/21/I/001 “Datu izplatīšanas un pārvaldības platforma (turpmāk - DAGR)” (turpmāk – DAGR projekts) pabeigšanas pieprasīt finansējumu atbilstoši Likuma par budžetu un finanšu vadību 9.1panta otrajā daļā noteiktajam, lai nodrošinātu DAGR projekta uzturēšanu atbilstoši Ministru kabineta 2021.gada 11.janvāra rīkojumam Nr.9 “Par informācijas sabiedrības attīstības pamatnostādņu ieviešanu publiskās pārvaldes informācijas sistēmu jomā (mērķarhitektūras 56.0. versija)”.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MK protokollēmuma projekta  1.punktā norādīto Likuma par budžetu un finanšu vadību panta atsauci “9.1panta” vietā lietojot “9.</w:t>
            </w:r>
            <w:r w:rsidR="00000000" w:rsidRPr="00000000" w:rsidDel="00000000">
              <w:rPr>
                <w:vertAlign w:val="superscript"/>
                <w:rtl w:val="0"/>
              </w:rPr>
              <w:t xml:space="preserve">1</w:t>
            </w:r>
            <w:r w:rsidR="00000000" w:rsidRPr="00000000" w:rsidDel="00000000">
              <w:rPr>
                <w:rtl w:val="0"/>
              </w:rPr>
              <w:t xml:space="preserve">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pēc DAGR projekta pabeigšanas, lai nodrošinātu ne tikai DAGR projekta specializētās programmatūras uzturēšanu, bet arī, lai nodrošinātu papildus datu devēju pieslēgšanu DAGR un datu pārvaldības īstenošanu būs nepieciešamas 7 jaunas amata vietas Valsts reģionālās attīstības aģentūrai. Finansējums  minēto amata vietu nodrošināšanai sākot ar 2025.gadu skatāms Ministru kabinetā likumprojekta “Par valsts budžetu 2024. gadam un budžeta ietvaru 2024., 2025. un 2026. gadam” sagatavošanas un izskatīšanas procesā kopā ar visu ministriju un centrālo valsts iestāžu iesniegtajiem prioritāro pasākumu pieteikumiem atbilstoši valsts budžeta finansiālajām iespējām. Gadījumā, ja attiecīgais papildus valsts budžeta finansējums netiek piešķirts likumprojekta “Par valsts budžetu 2024. gadam un budžeta ietvaru 2024., 2025. un 2026. gadam” sagatavošanas un izskatīšanas procesā, DAGR tiek nodrošināta uzturēšana esošā finansējuma ietvarā tikai apjomā, lai nodrošinātu datu apriti DAGR projekta ietvarā pieslēgtajiem datu devējiem atbilstoši protokollēmuma 1.punktā noteiktajam, neveidojot papildus plānotās amata vietas un datu pārvaldīšanas iespējas, kamēr papildu nepieciešamais valsts budžeta finansējums plānotajām papildus aktivitātēm tiek piešķirts kārtējā gada valsts budžeta likumprojekta sagatavošanas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projekta 2.punktā norādīts, ka finansējums 7 jaunām amata vietām nepieciešams no 2025.gada, vienlaikus anotācijas 3.sadaļā norādīts, ka tas nepieciešams no 2024.gada. Lūdzam precizēt, lai sniegtā informācija nav pretrunīga. Vienlaikus lūdzam 2.punktā vārdu “kārtējā gada” vietā lietot vārdus “nākamo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24.08.2023.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24.08.2023.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Atzinumi_22-TA-2640.docx</dc:title>
</cp:coreProperties>
</file>

<file path=docProps/custom.xml><?xml version="1.0" encoding="utf-8"?>
<Properties xmlns="http://schemas.openxmlformats.org/officeDocument/2006/custom-properties" xmlns:vt="http://schemas.openxmlformats.org/officeDocument/2006/docPropsVTypes"/>
</file>