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ģeologu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IVN procedūras termiņus ziņojuma izskatīšanai un atzinuma sniegšanai, kā arī pamatotus iemeslus likumā noteikto termiņu kavēšanai, neievērošanai. Jānosaka kārtību, cik reizes un pie kādiem nosacījumiem drīkst prasīt papildinājumus ziņojumā, sniedzot objektīvu pamatojumu šādu papildinājumu pieprasījumam.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Strādere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prasību noteikšanu ekspertiem IVN procedūrā nepieciešams precizēt, norādot eksperta kompetences jomu, piemēram, ģeoloģiskais, hidroloģiskais, hidroģeoloģiskais u.c. novērtējums, kā arī skaidri norādot ekspertam nepieciešamo izglītību un pieredzi (gados vai projektos) vides aizsardzības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Strādere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2.pielikumā noteikt robežvērtību ogļūdeņrazu izpētes un ieguves urbumiem pēc analoģijas ar citām paredzētajām darbībām, kam jau noteiktas robežvērtības.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2.pielikuma 2.panta 4) d) sadaļu izteikt: Ogļūdeņražu izpētes un ieguves urbumi virs 5 t dienā.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Strādere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1.pielikumā noteikt robežvērtību ogļūdeņražu ieguvei komerciālos nolūkos.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1.pielikuma 20.punktu izteikt: Ogļūdeņražu ieguvei komerciālos nolūkos virs 50 t ieguves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Marita Strādere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02.12.2024. 19.27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02.12.2024. 19.27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