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uz to, ka anotācijas 7.2 apakšpunktā pie aprēķinu skaidrojuma trūkst informācijas par pamatojumu, kāpēc nav iespējams aprēķināt Klimata un enerģētikas ministrijas pienākumu apkopot informāciju un informēt Eiropas Komisiju par apkopojumu. Kā arī iztrūkst informācija par likumprojekta 11. un 12. pantā iekļautiem informācijas sniegšanas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norādu, ka Enerģētikas un vides aģentūrai paredzētā funkcija neattiecas uz informācijas sniegšanas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10.02.2025.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10.02.2025.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