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Transportbūvju inženieru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viena zemesgabala robežās atsevišķus objektus projektē vairāki būvprojekta izstrādātāji, ciktāl šo objektu būvniecības ierosinātājs ir viena un tā pati persona, zemesgabala ģenerālplāna izstrādāšanu vada viens būvprojekta vadītājs, kura pienākums ir koordinēt zemesgabala apbūvi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tomēr nebūs korekti. Piemēram lidosta "Rīga" ir uz viena zemes gabala ~500ha platībā un paralēli notiek projektēšana daudzās vietās. Nav iedomājams viens ģenerālplāns šādā situācijā. Līdzīgi gadījumi, piemēram ostas vai slimnīcu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pilnībā tiek svītrots noteikumu 118.punkts. TIA ieskatā nav korekti būvprojekta autoram veikt būvuzraudzības darbus paša izstrādātam būvprojektam. Lai arī ir saskatām virkne priekšrocību, tomēr uzskatām, ka riski tos neattaisno. Plašāka diskusija un sarakste starp TIA un EM norisinājās 2022.gadā saistībā ar Rail Baltica pamattrases būvuzraudzības iepirkumu. TIA savus argumentu uztur joprojām.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r w:rsidR="00000000" w:rsidRPr="00000000" w:rsidDel="00000000">
              <w:rPr>
                <w:vertAlign w:val="superscript"/>
                <w:rtl w:val="0"/>
              </w:rPr>
              <w:t xml:space="preserve">1</w:t>
            </w:r>
            <w:r w:rsidR="00000000" w:rsidRPr="00000000" w:rsidDel="00000000">
              <w:rPr>
                <w:rtl w:val="0"/>
              </w:rPr>
              <w:t xml:space="preserve"> Šo noteikumu 122.punktu nepiemēro, ja būvuzraudzību veic būvspeciālists uz darba devēja rīkojuma pamata, attiecībā uz pirmās un otrās grupas būvju būvuzraudzību, ja būvniecības ierosinātājs ir valsts vai pašvaldības kapitālsabiedrība, vai attiecībā uz pirmās un otrās grupas meliorācijas un hidrotehnisko būvju būvuzraudzību, ja būvniecības ierosinātājs ir pašvaldība vai tās kapitālsabiedrība.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papildinātajam noteikumu punktam 123.1 . Šāda noteikumu redakcija viennozīmīgi kropļos tirgus konkurenci, palielināsies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20.09.2024. pausto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5. piecu darbdienu laikā – atzīmi par būvdarbu uzsākšanas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 cipariem, analogi kā pārējos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darbdienu laikā – atzīmi par būvdarbu uzsākšanas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Jaunbūvējamas ēkas gadījumā ēkas daļu var paredzēt kā būves kārtu, paredzot visus ēkas daļas pastāvīgai ekspluatācijai nepieciešamos risinājumus. Vienlaikus ar pirmo kārtu tiek nodotas ekspluatācijā visas ēkas nesošās un norobežojošās konstrukcijas, kā arī būves kārtai nepieciešamie iekšējo inženiertīklu stāvvadi. Turpmākās būvdarbu zonas nodala no ekspluatācijā nodotas ēkas daļas, būvprojektā paredzot pasākumus ekspluatācijā nodotās ēkas daļas drošai lietošanai. Jaunbūvējamas divu vai vairāku dzīvojamās ēkas būvdarbi nav dalāmi pa kārtām.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termina "ekspluatācijā nodotas" vietā lietot "ekspluatācijā pieņemtas". Gan šeit, gan turpmākajos notiekumu grozījumos ietvetajos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tehniskais projekts – stadija, kurā projekts ir izstrādāts tādā detalizācijas pakāpē, ka var noteikt būvdarbu izmaksas un izvēlēties būvdarbu veicēju, kā arī veikt būvekspertīzi;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Nodefinējams, ka Tehniskais projekts ir tā stadija, ar kuru tiek panākta projektēšanas nosacījumu izpilde  (būvprojekta saskaņošana).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Darba projekta izstrādātājs ir uzskatāms par detalizācijas izstrādātāju Būvniecības likuma 19.</w:t>
            </w:r>
            <w:r w:rsidR="00000000" w:rsidRPr="00000000" w:rsidDel="00000000">
              <w:rPr>
                <w:vertAlign w:val="superscript"/>
                <w:rtl w:val="0"/>
              </w:rPr>
              <w:t xml:space="preserve">2</w:t>
            </w:r>
            <w:r w:rsidR="00000000" w:rsidRPr="00000000" w:rsidDel="00000000">
              <w:rPr>
                <w:rtl w:val="0"/>
              </w:rPr>
              <w:t xml:space="preserve"> panta piektās daļas izpratnē un, izstrādājot darba projektu, iegūst saviem spēkiem visu nepieciešamo informāciju. Darba projektu izstrādā atbilstoši tehniskā projekta izstrādātāja (būvprojekta izstrādātāja) vai būvdarbu veicēja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darba projekts nav jāskaņo ar tehnisko noteikumu izdevējiem un/vai būvvaldi.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Liepiņš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