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ka atmaksātais publiskais finansējums (atmaksātais publiskais finansējums tai skaitā atbrīvotie līdzekļi (garantiju gadījumā)) līdz 8 000 000 euro tiks izmantots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45.pantu, kas nosaka, ka līdzekļus, ko atmaksā finanšu instrumentiem, tostarp kapitāla atmaksas, ieņēmumi un cita peļņa, kas radusies vismaz astoņus gadus ilgā laikposmā pēc atbilstības perioda beigām (2023.gada 31.decembris) un kas attiecināma uz atbalstu, kurš no ESI fondiem piešķirts finanšu instrumentiem saskaņā ar 37. pantu, atkārtoti izmanto saskaņā ar programmas vai programmu mērķiem vai nu tajā pašā finanšu instrumentā, vai pēc finanšu instrumenta izmantošanas beigām citos finanšu instrumentos, abos gadījumos ar noteikumu, ka tirgus apstākļu izvērtējums parāda joprojām pastāvošu vajadzību pēc šādas investīcijas vai citiem atbalsta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1.3.sadaļā sniegt skaidrojumu, kāpēc atmaksas netiek izmantotas tajā pašā ES fondu 2021.-2027.g. plānošanas perioda finanšu instrumentā, ka arī sniegt atsauci uz tirgus nepilnību izvērtējumu, kur ir noteikts, ka joprojām pastāv vajadzība pēc šādas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58.panta otrajā daļā ir noteikts, ka finanšu instrumenti sniedz atbalstu gala saņēmējiem tikai par tādām investīcijām gan materiālos, gan nemateriālos aktīvos, kā arī apgrozāmo kapitālu, kuras, kā sagaidāms, būs finansiāli dzīvotspējīgas, un kurām nav atrasts pietiekams finansējums no tirgus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kā tiks gūta pārliecība, ka gala saņēmējs nevar piesaistīt finansējumu no citiem tirgus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paredz palielināt programmas īstenošanai pieejamo finansējuma apmēru par līdz 8 miljoniem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kredītiestādes apliecinājumu par to, ka pilnvarotā persona vai saimnieciskās darbības veicējs var pieteikties aizdevuma saņemšanai sabiedrībā "Altum". Ja kredītiestāde nesniedz apliecinājumu 20 darbdienu laikā, uzskatāms, ka kredītiestāde ir apliecinājusi, ka dzīvokļu īpašnieki vai saimnieciskās darbības veicējs var pieteikties aizdevumam sabiedrībā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obligāto prasību par nepieciešamību saņemt cita finansētāja atteikumu, lai saņemtu Altum aizdevumu. Skaidrojam, ka šo prasību paredz Eiropas Komisijas lēmums par atbalstu Altum un, ņemot vērā, ka Altum aizdevumua drīkst sniegt tikai tirgus nepilnību apstākļos, proti, tikai tad, ja citi finansētāji tirgū tos nesniedz, tad gadījumā, ja netiks prasīts kredītiestādes apliecinājums par to, ka pilnvarotā persona vai saimnieciskās darbības veicējs var pieteikties aizdevuma saņemšanai sabiedrībā "Altum", lūdzam noteikumus papildināt ar alternatīvu risinājumu, kā Altum pārliecināsies, ka citi finansētāji attiecīgajam atbalsta saņēmējam kredītu nesniedz. Ar attiecīgu skaidrojumu lūdzam papildināt arī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skatīt arī noteikumu projektā iekļauto 19.</w:t>
            </w:r>
            <w:r w:rsidR="00000000" w:rsidRPr="00000000" w:rsidDel="00000000">
              <w:rPr>
                <w:vertAlign w:val="superscript"/>
                <w:rtl w:val="0"/>
              </w:rPr>
              <w:t xml:space="preserve">2</w:t>
            </w:r>
            <w:r w:rsidR="00000000" w:rsidRPr="00000000" w:rsidDel="00000000">
              <w:rPr>
                <w:rtl w:val="0"/>
              </w:rPr>
              <w:t xml:space="preserve">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6. jūlija noteikumos Nr. 481 "Atbalsta programmas nosacījumi būvdarbiem daudzdzīvokļu mājās, to teritoriju labiekārtošanai un daudzdzīvokļu mājām noteikto atsavināmo zemju izpirkšanai"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svītrots noteikumu 9.11. un 19.2 8.apakšpunkts, lūdzam šo noteikumu projektu saskaņot arī ar Latvijas Finanšu nozares asociāciju.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aizdevuma piešķiršanu var pieņemt līdz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7. panta 3. punktā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korektu lēmuma par aizdevuma piešķiršanu termiņu, lūdzam papildināt 4. punktu ar atsauci uz Komisijas regulas Nr. 2023/2831 8.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Aizdevumu </w:t>
            </w:r>
            <w:r w:rsidR="00000000" w:rsidRPr="00000000" w:rsidDel="00000000">
              <w:rPr>
                <w:i w:val="1"/>
                <w:rtl w:val="0"/>
              </w:rPr>
              <w:t xml:space="preserve">de minimis</w:t>
            </w:r>
            <w:r w:rsidR="00000000" w:rsidRPr="00000000" w:rsidDel="00000000">
              <w:rPr>
                <w:rtl w:val="0"/>
              </w:rPr>
              <w:t xml:space="preserve"> atbalsta saņēmējiem sniedz saskaņā ar Komisijas regulu Nr. 2023/2831 un nepiešķir Komisijas regulas Nr.   2023/2831 1. panta 1.punkta a), b), c) un d) apakšpunktā noteiktajām nozarēm un regulas Nr.2023/2831 1.panta 1.punkta e) un f) apakšpunktā noteiktajām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nozares ministrijas (Zemkopības ministrija) viedoklim, lai nodrošinātu Komisijas regulas Nr.2023/2831 piemērošanu atbalsta pretendentiem un atbalsta sniedzējiem vēl skaidrāku attiecībā uz Komisijas regulas Nr.2023/2831 1.panta 1.punktā minētajām neatbalstāmajām lauksaimniecības, zvejas un akvakultūras nozarēm un darbībām, piedāvājam izteikt noteikumu 20.punktu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Komisijas regulu Nr.2023/2831 piešķir, ievērojot Komisijas regulas Nr.2023/2831 1.panta 1.punktā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uzglabā 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2023/2831,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23.1.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ievērojot regulas Nr. 2023/2831 5. panta 1. un 2. punkta nosacījumus,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w:t>
            </w:r>
            <w:r w:rsidR="00000000" w:rsidRPr="00000000" w:rsidDel="00000000">
              <w:rPr>
                <w:i w:val="1"/>
                <w:rtl w:val="0"/>
              </w:rPr>
              <w:t xml:space="preserve"> de minimis</w:t>
            </w:r>
            <w:r w:rsidR="00000000" w:rsidRPr="00000000" w:rsidDel="00000000">
              <w:rPr>
                <w:rtl w:val="0"/>
              </w:rPr>
              <w:t xml:space="preserve"> atbalstu līdz regulas Nr. 2023/2831 3. panta 2. punktā noteiktajam robežlielumam, kā arī drīkst apvienot ar citu valsts atbalstu, tai skaitā attiecībā uz vienām un tām pašām attiecināmajām izmaksām, vai citu valsts atbalstu tam pašam riska finansējuma pasākumam, ja apvienošanas rezultātā netiek pārsniegta attiecīgā maksimālā atbalsta intensitāte vai atbalsta summa, kāda noteikta valsts atbalsta programmā,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ir iespējama gan par tām pašām attiecināmajām izmaksām, gan par citas atbalsta programmas ietvaros piešķirto finansējumu, turklāt gan ar de minimis atbalstu, gan ar citu komercdarbības atbalstu, lūdzam precizēt noteikumu 23.3. apakšpunktu,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w:t>
            </w:r>
            <w:r w:rsidR="00000000" w:rsidRPr="00000000" w:rsidDel="00000000">
              <w:rPr>
                <w:i w:val="1"/>
                <w:rtl w:val="0"/>
              </w:rPr>
              <w:t xml:space="preserve">de minimis</w:t>
            </w:r>
            <w:r w:rsidR="00000000" w:rsidRPr="00000000" w:rsidDel="00000000">
              <w:rPr>
                <w:rtl w:val="0"/>
              </w:rPr>
              <w:t xml:space="preserve"> atbalsta saņēmējs darbojas šo noteikumu 20. punktā minētajās nozarēs, atbalstu šo noteikumu ietvaros drīkst piešķirt tikai tad, ja tiek skaidri nodalītas nozaru darbības un to uzskaite, nodrošinot, ka darbības šo noteikumu 20. punktā minētajās nozarēs negūst labumu no piešķirtā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gadījumā, ja atbalsta saņēmējs darbojas kādā no Komisijas regulas Nr.2023/2831 1.panta 1.punkta a), b), c) un d) apakšpunktos minētajās nozarēs, de minimis atbalstu saskaņā ar Komisijas regulu Nr.2023/2831 drīkst piešķirt tikai tādā gadījumā, ja tiek nodrošināta šo nozaru darbību vai uzskaites nodalīšana, aicinām izteikt noteikumu 24.punktu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atbalsta pretendents veic darbības, kas ir noteiktas Komisijas regulas Nr.2023/2831 1.panta 1.punkta “e” un “f” apakšpunktā, de minimis atbalstu nevar piešķirt.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pretendents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24-TA-1027</w:t>
    </w:r>
    <w:r>
      <w:br/>
    </w:r>
    <w:r w:rsidR="00000000" w:rsidRPr="00000000" w:rsidDel="00000000">
      <w:rPr>
        <w:rtl w:val="0"/>
      </w:rPr>
      <w:t xml:space="preserve">Izdrukāts 17.05.2024.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24-TA-1027</w:t>
    </w:r>
    <w:r>
      <w:br/>
    </w:r>
    <w:r w:rsidR="00000000" w:rsidRPr="00000000" w:rsidDel="00000000">
      <w:rPr>
        <w:rtl w:val="0"/>
      </w:rPr>
      <w:t xml:space="preserve">Izdrukāts 17.05.2024.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Atzinumi_24-TA-1027.docx</dc:title>
</cp:coreProperties>
</file>

<file path=docProps/custom.xml><?xml version="1.0" encoding="utf-8"?>
<Properties xmlns="http://schemas.openxmlformats.org/officeDocument/2006/custom-properties" xmlns:vt="http://schemas.openxmlformats.org/officeDocument/2006/docPropsVTypes"/>
</file>