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atbalstu projektiem rūpniecisko spēju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MK noteikumu projektā, ka resursus, kas pirms attiecināmības perioda beigām iemaksāti atpakaļ finanšu instrumentos no investīcijām galasaņēmējos vai no to resursu atbrīvošanas, kas rezervēti garantijas līgumiem, tostarp atmaksāto kapitālu un jebkāda veida ienākumus, kuri saistāmi ar atbalstu no fondiem, izmanto atkārtoti tajā pašā finanšu instrumentā vai citos finanšu instrumentos turpmākām investīcijām galasaņēmējos, nolūkā segt tādus zaudējumus fondu iemaksu finanšu instrumentā nominālajā summā, ko izraisījuši negatīvi procenti – ja šādi zaudējumi rodas, neraugoties uz aktīvu finanšu līdzekļu pārvaldību, – vai jebkādām pārvaldības izmaksām un maksām, kas saistītas ar šādām turpmākām investīcijām, ņemot vērā pareizas finanšu pārvaldības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resursi, kas iemaksāti atpakaļ finanšu instrumentos, vismaz astoņus gadus pēc attiecināmības perioda beigām tiek izmantoti atkārtoti saskaņā ar tās programmas vai to programmu politiskajiem mērķiem, saskaņā ar kurām tie tika izveidoti, vai nu tajā pašā finanšu instrumentā, vai – pēc minēto resursu izņemšanas no finanšu instrumenta – citos finanšu instrumentos vai citos atbalsta veidos. Lūdzam atbilstoši precizēt MK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procentus un citus ieņēmumus, kas saistāmi ar atbalstu, kurš no fondiem izmaksāts finanšu instrumentiem, tostarp pārvaldības maksu maksājumiem un atlīdzībai par pārvaldības izmaksām, kas radušās struktūrām, kuras īsteno finanšu instrumentu saskaņā ar Eiropas Parlamenta un Padomes 2021. gada 14.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68.panta 1. punkta d) apakšpunktu, izmanto tādam pašam mērķim vai mērķiem kā sākotnējo atbalstu no fondiem vai nu tajā pašā finanšu instrumentā, vai – pēc finanšu instrumenta slēgšanas – citos finanšu instrumentos vai citos atbalsta veidos turpmākām investīcijām galasaņēmējos līdz attiecināmības perioda beigām. Tos procentus un citus ieņēmumus, kurus neizmanto saskaņā ar minēto noteikumu, atskaita no kontiem, kas iesniegti par pēdējo grāmatvedības gadu. Lūdzam atbilstoši precizēt MK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informāciju, ka atbalsts, kas no fondiem izmaksāts finanšu instrumentiem, ievieto kontos finanšu iestādēs, kuru domicils ir dalībvalstīs, un pārvalda saskaņā ar aktīvu finanšu līdzekļu pārvaldību un pareizas finanšu pārvaldības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informāciju, ka struktūras, kas īsteno finanšu instrumentus, ievēro piemērojamos tiesību aktus, jo īpaši valsts atbalsta un publiskā iepirkuma noteikumus, tādēļ noteikumu projektā jābūt ietvertām atsaucēm uz attiecīgajiem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atbalstāmo darbību un izmaksu attiecināmības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Savienības fondu 2021.—2027. gada plānošanas perioda vadības likuma 36. pantam Ministru kabineta noteikumos norāda informāciju par projektā radušos izmaksu attiecināmības termiņa sākumu, ja tas nav 2021. gada 1. janvāris. Lūdzam papildināt noteikumu projektu ar regulējumu no kura brīža šī noteikumu projekta ietvaros izmaksas ir attiecināmas.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atzinums – Aizsardzības ministrijas sagatavots dokuments, kas apliecina projekta pieteikumā minētā produkta atbilstību militārās jomas produktam, kas atbilst būtiskām drošības interesēm vai divējāda lietojuma produktu specifikai;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anotācijā skaidroto, ka "p</w:t>
            </w:r>
            <w:r w:rsidR="00000000" w:rsidRPr="00000000" w:rsidDel="00000000">
              <w:rPr>
                <w:i w:val="1"/>
                <w:rtl w:val="0"/>
              </w:rPr>
              <w:t xml:space="preserve">ubliskā finansējuma piešķiršana (jebkādā formā) saimnieciskās darbības veicējiem ir paredzēta to īstenotajām darbībām vienīgi militārajā jomā (atbilstoši Līguma par Eiropas Savienības darbību 346.panta 1. punkta (b) apakšpunktā noteiktajam), attiecīgi “īstenojot valsts varu” un nodrošinot valsts drošības intereses, šāda publiskā finansējuma piešķiršana (jebkādā formā) nekvalificējas kā atbalsts tā saimnieciskajai darbībai un tādējādi nav jāpiemēro komercdarbības atbalsta regulējuma nosacījumi (skat. Komisijas paziņojuma par Līguma ar Eiropas Savienības darbību 107. panta 1. punktā minēto valsts atbalsta jēdzienu (2016/C 262/01) 17.punktu)</w:t>
            </w:r>
            <w:r w:rsidR="00000000" w:rsidRPr="00000000" w:rsidDel="00000000">
              <w:rPr>
                <w:rtl w:val="0"/>
              </w:rPr>
              <w:t xml:space="preserve">" un to, ka šajā gadījumā ar valsti tiek saprasta Latvijas valsts, lai novērstu interpretācijas risku, lūdzam precizēt noteikumu projekta 2.1. apakšpunktu, pirms vārdiem "drošības interesēm" papildinot ar vārdiem "Latvijas valsts". Vienlaikus attiecīgi lūdzam papildināt arī attiecīgās vietas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saistītie uzņēmumi – saimnieciskās darbības veicēji, kas uz atbalsta piešķiršanas brīdi atbilst Komisijas regulas Nr. 651/2014 I pielikuma 3. panta 3. punktā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2.6.apakšpunktā ir ietverts termins “saistītie uzņēmumi”, taču šis termins nav minēts nevienā noteikumu projekta punktā. Noteikumu projekta 2.7.apakšpunktā ir ietverts termins “gala saņēmējs” un no noteikumu projekta 14.punkta un 42.punkta izriet, ka projekta pieteikumu iesniedz gala saņēmējs, kā arī no noteikumu projekta regulējuma saprotams, ka projektu īsteno gala saņēmējs (nav ietverts regulējums, kas paredzētu cita projekta īstenotāja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anotācijas 7.lp. minēts, ka “finansējums ir pieejams arī uzņēmumiem, kuriem ir saistīto uzņēmumu grupa, proti, projekta pieteicējs un finansējuma saņēmējs ir mātes uzņēmums, bet projekta īstenotājs – tā meitas sabiedrība, kura veic attiecīgos ieguldījumus un nodrošina projekta īstenošanu”. Vēršam uzmanību, ka noteikumu projektā šobrīd nav ietverts tāds regulējums, kā minēts anotācijas 7.lp. No noteikumu projekta pašreizējās redakcijas izriet, ka projekta iesniedzējs un īstenotājs ir gala saņēmējs. Tāpat vēršam uzmanību, ka anotācija nav juridiski saistoša.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salāgot noteikumu projekta regulējumu un anotācijā norādīto, t.i. ja paredzēta iespēja, ka projekta iesniedzējs un finansējuma saņēmējs ir viena kapitālsabiedrība, bet projekta īstenotājs cita kapitālsabiedrība, tad noteikumu projektu nepieciešams papildināt ar atbilstošu regulējumu, t.sk. paredzot, ka gala saņēmējs (no anotācijas saprotam, ka gala saņēmējs domāts mātes uzņēmums) projekta īstenošanai var piesaistīt projekta īstenotāju (no anotācijas saprotam, ka meitas sabiedrību), kas ir saistītais uzņēmums. Vienlaikus lūdzam papildināt noteikumu projekta 2.7.3., 2.7.5. un 25.punktu, lietojot jēdzienu “saistīto uzņēmumu grupas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tam saskaņā ar Valsts ieņēmumu dienesta administrēto nodokļu (nodevu) parādnieku datubāzē publiski pieejamo informāciju nav nodokļu vai nodevu parādu, tai skaitā valsts sociālās apdrošināšanas obligāto iemaksu parādu, kas kopsummā pārsniedz 150 euro, izņemot nodokļu maksājumus, kuru maksāšanas termiņš saskaņā ar likuma "Par nodokļiem un nodevām" 24. panta pirmo, 1.3 un 1.7 daļu ir pagarināts, sadalīts termiņos, atlikts vai atkārtoti sadalīts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30.jūnijā stājās spēkā likums"Grozījumi likumā "Par nodokļiem un nodevām"", ar kuru grozīta likuma "Par nodokļiem un nodevām" 18.panta pirmās daļas 8.punkta redakcija, nosakot, ka par nodokļu parādu neuzskata arī tādus nodokļu maksājumus, attiecībā uz kuriem ir noslēgts vienošanās līgums saskaņā ar šā likuma 41.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2.7.2.apapakšpunktu -  vai nu papildinot punktu ar atsauci uz vārdiem "vai attiecībā uz kuriem ir noslēgts vienošanās līgums saskaņā ar šā likuma 41. pantu;  vai arī svītrojot vārdus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2.7.2.apakšpunktā ir sniegta atsauce uz to, ka datus iegūst no  Valsts ieņēmumu dienesta administrēto nodokļu (nodevu) parādnieku datubāzē publiski pieejamās informācijas, tad atsauce uz izņēumiem nav nepieciešama, jo publiski pieejamā informācija jau ir ņemot vērā šos izņēmumus.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tam saskaņā ar Valsts ieņēmumu dienesta administrēto nodokļu (nodevu) parādnieku datubāzē publiski pieejamo informāciju nav nodokļu vai nodevu parādu, tai skaitā valsts sociālās apdrošināšanas obligāto iemaksu parādu, kas kopsummā pārsniedz 150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Danute Deičmane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tas nav uzskatāms par grūtībās nonākušu komersantu saskaņā ar Komisijas regulas Nr. 651/2014 2. panta 18. punktu (vērtējot saistības grupas līmeni) un ir iesniedzis apliecinājumu, ka tam nav pasludināts projekta iesniedzēja maksātnespējas process, nav ierosināta tiesiskās aizsardzības procesa lieta vai netiek īstenots tiesiskās aizsardzības process, nav apturēta vai pārtraukta projekta iesniedzēja saimnieciskā darbība vai projekta iesniedzējs netiek likvidēts – ja atbalstu piešķir saskaņā ar Komisijas regulas Nr. 651/2014 14.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Nr.2021/1058 7.panta 1.punkta d)apakšpunktā noteikto, ka no ERAF nedrīkst atbalstīt uzņēmumus, kas ir grūtībās nonākuši (izņēmums ir tikai de minimis un pagaidu regulējums), grūtībās nonākuša uzņēmuma nosacījuma pārbaude ir attiecināma arī uz uzņēmumiem, kuri saņems atbalstu militārā jomā, kaut arī atbalsts militārajā jomā nekvalificējas kā komercdarbības atbalsts. Līdz ar to lūdzam izteikt minētā punkta redakciju bez ierobežojuma attiecībā uz Komisijas regulas Nr.651/2014 14.panta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nodrošināt finansējuma pieejamību gala saņēmēju attīstībai Latvijā, sniedzot atbalstu militāru vai divējāda lietojuma produktu ieviešanai un komercializācijai, tostarp atbalstot ar šo produktu ieviešanu saistīto jaunu ēku, tai skaitā ražošanas ēku un ražošanai nepieciešamās infrastruktūras izbūvi, iekārtu iegādi.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Eiropas Savienības kohēzijas politikas programmas 2021.–2027. gadam grozījumiem, tās (140) paragrāfā noteikto lūdzam precizēt pasākuma mērķi,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mērķis ir nodrošināt finansējuma pieejamību mērogojamu investīciju projektu īstenošanai, kuri vērsti uz aizsardzības rūpniecisko spēju uzlabošanu un ražošanu duāla vai militāra lietojuma jomā, t.sk., jaunu rūpnīcu celšanu, kā arī ražošanai nepieciešamās infrastruktūras attīstīšanu, lai nodrošinātu stratēģiski nozīmīgu investīciju veikšanu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šo aprakstīt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Aizdevumus ar kapitāla atlaidi piešķir 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gan aizdevumu ar kapitāla atlaidi, gan paralēlo aizdevumu ar kapitāla atlaidi, lūdzam precizēt visā tekstā nosacījumus, kas attiecas uz aizdevumiem un kas - paralēlajiem aizdevumiem. Šobrīd ir nosacījumus, kas attiecas tikai uz aizdevumiem ar kapitāla atlaidi, taču būtu attiecināmi arī uz paralēlajiem aizdevumiem ar kapitāla atlaidi.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nemateriālie aktīvi atbilst Komisijas regulas Nr. 651/2014 14. panta 8. punktā minētajiem nosacījumiem. Lielajiem komersantiem, mazajiem vidējas kapitalizācijas gala saņēmējiem vai vidējas kapitalizācijas gala saņēmējiem nemateriālos aktīvus var finansēt līdz 50 procentiem no sākotnējo ieguldījumu kopējām attiecināmajām ieguldījumu izmaksām. Vidējiem komersantiem nemateriālos aktīvus var finansēt līdz 100 procentiem no sākotnējo ieguldījumu kopējām attiecināmajām ieguldījumu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 651/2014 14. panta 8. punktā minēto, ka attiecībā uz MVU nemateriālo aktīvu izmaksas ir attiecināmas 100 % apmērā, lūdzam noteikumu projekta 21.1.6.apakšpunkta pēdējo teikumu pēc analoģijā, kā ir noteikts arī noteikumu projekta 44.6.apakšpunktā, izteikt šādā redakcijā: </w:t>
            </w:r>
            <w:r w:rsidR="00000000" w:rsidRPr="00000000" w:rsidDel="00000000">
              <w:rPr>
                <w:i w:val="1"/>
                <w:rtl w:val="0"/>
              </w:rPr>
              <w:t xml:space="preserve">"Sīkajiem (mikro), mazajiem vai vidējiem komersantiem nemateriālos aktīvus var finansēt līdz 100 procentiem no sākotnējo ieguldījumu kopējām attiecināmajām ieguldījumu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Ikvienu sākotnējo ieguldījumu, kam piešķir atbalstu saskaņā ar Komisijas regulas Nr. 651/2014 14. pantu, kurš attiecas uz to pašu vai līdzīgu darbību atbilstoši Komisijas regulas Nr. 651/2014 2. panta 50. punktā noteiktajai definīcijai un kuru tas pats saņēmējs (grupas līmenī) ir sācis triju gadu laikā no dienas, kad sākti darbi pie cita atbalstītā ieguldījuma tajā pašā NUTS 3. līmeņa reģionā (atbilstoši 2021. gada datiem), uzskata par daļu no vienota ieguldījumu projekta. Vienotam ieguldījumu projektam, kas ir lielu ieguldījumu projekts, un lielu ieguldījumu projektam, kas nav vienotais ieguldījumu projekts, saskaņā ar Komisijas regulas Nr. 651/2014 2. panta 52. punktu (neatkarīgi no gala saņēmēja lieluma) atbalstu piešķir,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iekļaut normu, kas nodrošina, ka atbalsts nepārsniedz paziņošanas robežvērtības un intensitātes vienam uzņēmumam vienā ieguldījumu projektā (grupas līmenī), saskaņā ar Komisijas regulu Nr.651/2014 4.panta 1.a)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ka noteikumu projekta 25.punktā nav norādīts, ka nosacījumi jāievēro vienam uzņēmumam vienā ieguldījumu projektā (grupas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projektā plānotie sākotnējie ieguldījumi tiek veikti Latvijā divos vai vairākos dažādas atbalsta intensitātes NUTS 3. līmeņa reģionos (atbilstoši 2021. gada datiem), piemēro vienu no šādām atbalsta intensitātēm: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regulas nosaukumu, pret kuru plāno aprēķināt punktā minētās intensitātes.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ievēro nosacījumus atbilstoši Komisijas regulas Nr. 651/2014 14. panta 7.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regulas Nr.651/2014 14.panta 7.punkts noteikumu projektā tiek attiecināts uz visiem gala saņēmējiem, vēršam uzmanību, ka regulas attiecīgā punkta nosacījumi attiecināmi atkarībā no tā, vai atbalsta saņēmējs ir lielais uzņēmums, kas veic būtiskas izmaiņas ražošanas procesā, vai arī atbalsta saņēmējs (kas ir gan lielais uzņēmums, gan MVU) īsteno esošas uzņēmējdarbības vietas darbības dažādošanu.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projekta īstenošanas rezultātā uz katriem kopējās pieejamās kapitāla atlaides 250 000 euro ir radīta viena jauna darba vieta ar pilnu darba slodzi vai saglabāta esoša darba vieta ar pilnu darba slodzi ar darba samaksas pieaugumu, un kopā ir radītas jaunas vai saglabātas esošas ar darba samaksas pieaugumu vismaz 12 darba vietas ar pilnu darba slodzi, un tās ir saglabātas visā attiecīgajā pēcuzraudzības periodā. Personas, kuras plānots nodarbināt jaunradītajās darba vietās, divu gadu laikā pirms finansējuma pieteikuma iesniegšanas dienas nevar tikt nodarbinātas projekta iesniedzēja vai tā saistīto personu grupā atbilstoši Valsts ieņēmumu dienesta vai Valsts sociālās apdrošināšanas aģentūras sniegtajai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nav skaidri noteikts, vai akciju sabiedrībai “Attīstības finanšu institūcija Altum” ir pienākums pārbaudīt rādītāju atbilstību, izmantojot Valsts ieņēmumu dienesta (VID) vai Valsts sociālās apdrošināšanas aģentūras (VSAA) datus. Šāda nenoteiktība rada interpretācijas riskus un neviennozīmīgu prasību piemērošanu. Vai tomēr 32.punktā minēto radītāju atbilstību pārbaudīs tikai Ekonomikas ministrija 34. apakšpunktā noteiktajā apjomā un  36.apakšpunktā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VID datu apmaiņas risinājumi nodrošina aktuālos nodarbinātības datus (pieprasījums pēc darba devēja nodokļu maksātāja reģistrācijas numura) vai vēsturiskos datus (pēc darbinieka personas koda). Taču pēc piedāvās redakcijas būtu nepieciešams vērtēt personas divu gadu nodarbinātības periodu pirms pieteikuma iesniegšanas dienas, taču tas nav iespējams automātiskā datu apmaiņā.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Nodarbinātības dati balstās uz ziņām par darba ņēmējiem (pieņemšanas/atbrīvošanas datumi), bet tajās nav informācijas par nostrādātajām stundām. VID rīcībā ir tikai nostrādātās stundas mēnesī, kas norādītas ikmēneša darba devēju ziņojumos. Lai izvērtētu algas pieaugumu, būtu jāizmanto serviss “Darba devēja nodarbināto ienākumu dati”, kurā ir bruto alga un nostrādātās stundas, taču tas ietver visu darbinieku datus, kas rada datu aizsardzības un proporcionalitātes jautājumus. Ievērojot minēto, lai novērstu interpretācijas riskus, lūdzam svītrot vārdus “Valsts ieņēmumu dienesta” no attiecīgā apakšpunkta.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Nadežda Umanska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Valsts ieņēmumu dienests Ekonomikas ministrijai pēc pieprasījuma sniedz šādus ar gala saņēmēju saistītos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nav skaidri noteikts, kādā veidā Ekonomikas ministrija pieprasīs un kādā veidā Valsts ieņēmumu dienests sniegs/pados ar gala saņēmēju saistītos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MK noteikumos un anotācijā lūdzu skaidri atrunāt - kādā veidā dati tiks pieprasīti un nodoti.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Antra Kalniņa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Atbalsta programmas ietvaros garantiju gala saņēmēja projektiem piešķir, ievērojot šo noteikumu </w:t>
            </w:r>
            <w:r w:rsidR="00000000" w:rsidRPr="00000000" w:rsidDel="00000000">
              <w:rPr>
                <w:rtl w:val="0"/>
              </w:rPr>
              <w:t xml:space="preserve">22.1.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22.2.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22.3.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22.4. </w:t>
            </w:r>
            <w:r w:rsidR="00000000" w:rsidRPr="00000000" w:rsidDel="00000000">
              <w:rPr>
                <w:rtl w:val="0"/>
              </w:rPr>
              <w:t xml:space="preserve">apakšpunkt</w:t>
            </w:r>
            <w:r w:rsidR="00000000" w:rsidRPr="00000000" w:rsidDel="00000000">
              <w:rPr>
                <w:rtl w:val="0"/>
              </w:rPr>
              <w:t xml:space="preserve">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nodrošinot, lai visi nosacījumi, kas izriet no Komisija regulas Nr.651/2014 14.panta piemērošanas, būtu attiecināti uz gadījumiem, kad atbalsts tiek sniegts kā garantija ar kapitāla atlaidi. Piemēram, noteikumu projekta 28.punkts, kas šobrīd attiecas uz aizdevumiem ar kapitāla atlaidi, ir piemērojams arī garantiju ar kapitāla atlaidi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53.3. ja atbalstu piešķir saskaņā ar Komisijas regulas Nr. 651/2014 14. pantu, gala saņēmēja parakstīts apliecinājums, ka uz to nav attiecināma Komisijas regulas Nr. 651/2014 2. panta 18. punkta "c" apakšpunktā minētā situācija – tas neatbilst Latvijas Republikas normatīvajos aktos noteiktajiem kritērijiem, lai tam pēc kreditoru pieprasījuma vai parādnieka pieteikuma uzsāktu maksātnespējas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Nr.2021/1058 7.panta 1.punkta d)apakšpunktā noteikto, ka no ERAF nedrīkst atbalstīt uzņēmumus, kas ir grūtībās nonākuši (izņēmums ir tikai de minimis un pagaidu regulējums), grūtībās nonākuša uzņēmuma nosacījuma pārbaude ir attiecināma arī uz uzņēmumiem, kuri saņems atbalstu militārā jomā, kaut arī atbalsts militārajā jomā nekvalificējas kā komercdarbības atbalsts. Līdz ar to lūdzam izteikt minētā punkta redakciju bez ierobežojuma attiecībā uz Komisijas regulas Nr.651/2014 14.panta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53.9. informāciju par gala saņēmēja lielumu, proti, sabiedrība "Altum" atbalstu piešķir komersantiem, kuri uz lēmuma par atbalsta piešķiršanu brīdi ir sīkie (mikro), mazie, vidējie vai lielie komersanti, mazas vidējas kapitalizācijas komersanti vai vidējas kapitalizācijas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šī punkta redakciju salāgot ar MK noteikumu projekta 2.7.1.apakšunktā minētajiem finansējuma saņēmējiem (iztrūkst lielo komersantu).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sabiedrības "Altum" aizdevumam un paralēlam aizdevumam subsīdijas ekvivalents ir vienāds ar komersantam piešķirtā aizdevuma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5.-7.punktā minēto ir secināms, ka atbalsts plānots kā sabiedrības "Altum" aizdevums ar kapitāla atlaidi, paralēlais aizdevums ar kapitāla atlaidi vai garantija ar kapitāla atlaidi, kur attiecīgi sabiedrības "Altum" aizdevumam ar kapitāla atlaidi vai paralēlajam aizdevumam ar kapitāla atlaidi kopējais subsīdijas ekvivalenta aprēķins ir noteikts noteikumu projekta 66.2.apakšpunktā un noteikumu projekta 66.1.apakšpunktā, ņemot vērā Eiropas Komisijas sniegto 2025.gadā aktualizēto skaidrojumu State Aid eWiki vietnē (https://webgate.ec.europa.eu/fpfis/wikis/pages/viewpage.action?pageId=1034846217&amp;spaceKey=StateAid&amp;title=Article%2B5%2BTransparency%2Bof%2Baid%2B%E2%80%93%2Bcalculation%2Bof%2BGGE%2Bfor%2Bcombined%2Bfinancial%2Binstrument). Attiecīgi lūdzam precizēt MK noteikumu projektu, lai skaidrs, ka piemēro vai nu 66.1 vai 66.2, kā arī lūdzam papildināt anotāciju, skaidrojot, kādos gadījumos piemēro 66.1 apakšpunktu un kādos gadījumos - 66.2.apakšpunktu.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Garantijas prēmiju sīkiem (mikro), maziem un vidējiem komersantiem sabiedrība "Altum" aprēķina, piemērojot gada prēmijas likmes atbilstoši saimnieciskās darbības veicēja kredīta kvalitātei un nodrošinājuma līmenim, kas noteikts saskaņā ar sabiedrības "Altum" kredīta kvalitātes novērtēšanas sistēmu. Piemērojamās garantijas gada prēmijas likmes ir publicētas sabiedrības "Altum" tīmekļvietnē. Kapitāla atlaides subsīdijas ekvivalents ir vienāds ar gala saņēmējam piešķirtās kapitāla atlaides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projektā iekļaut normu, kas nosaka garantijas ar kapitāla atlaidi kopējo subsīdijas ekvivalentu aprēķinu līdzīgi kā tas ir attiecībā uz aizdevumiem, kā arī garantijas subsīdijas ekvivalentu attiecībā no uzņēmuma lieluma (piemēram skat. Ministru kabineta 2020. gada 16. jūnija noteikumus Nr. 383 "Noteikumi par garantijām saimnieciskās darbības veicējiem konkurētspējas uzlabošanai" https://likumi.lv/ta/id/315560).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dzēst šī punkta pēdējo teikumu, kas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izvērtēta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šobrīd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kad Ekonomikas ministrija, kā par pasākuma ieviešanu atbildīgā iestāde, plāno atjaunot Tirgus nepilnību izvērtējumu finanšu pieejamības jomā, kurā precīzi tiks atspoguļoti tirgus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pirms jauna finanšu instrumenta ieviešanas vai gadījumā, ja finanšu instrumenta īstenošanas posmā precīzi netiek atspoguļoti tirgus apstākļi, tad atbilstoši Regulas Nr. 2021/1060 58. panta 3. punktam tiek izstrādāts vai atjaunots ex-ante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anotācijas sadaļā "Atbalsta veids" minēto, ka," j</w:t>
            </w:r>
            <w:r w:rsidR="00000000" w:rsidRPr="00000000" w:rsidDel="00000000">
              <w:rPr>
                <w:i w:val="1"/>
                <w:rtl w:val="0"/>
              </w:rPr>
              <w:t xml:space="preserve">a ir paredzēta materiālo aktīvu noma, tad apbūves tiesības mazajiem vidējas kapitalizācijas gala saņēmējiem vai vidējas kapitalizācijas gala saņēmējiem ilgst vismaz piecus gadus, vidējiem komersantiem trīs gadus, pēc projekta pabeigšanas dienas un ir spēkā visā aizdevuma līguma darbības laikā",  l</w:t>
            </w:r>
            <w:r w:rsidR="00000000" w:rsidRPr="00000000" w:rsidDel="00000000">
              <w:rPr>
                <w:rtl w:val="0"/>
              </w:rPr>
              <w:t xml:space="preserve">ūdzam skaidrot, kā iet kop</w:t>
            </w:r>
            <w:r w:rsidR="00000000" w:rsidRPr="00000000" w:rsidDel="00000000">
              <w:rPr>
                <w:i w:val="1"/>
                <w:rtl w:val="0"/>
              </w:rPr>
              <w:t xml:space="preserve">ā </w:t>
            </w:r>
            <w:r w:rsidR="00000000" w:rsidRPr="00000000" w:rsidDel="00000000">
              <w:rPr>
                <w:rtl w:val="0"/>
              </w:rPr>
              <w:t xml:space="preserve">minētais nosacījums </w:t>
            </w:r>
            <w:r w:rsidR="00000000" w:rsidRPr="00000000" w:rsidDel="00000000">
              <w:rPr>
                <w:i w:val="1"/>
                <w:rtl w:val="0"/>
              </w:rPr>
              <w:t xml:space="preserve">par vismaz 3-5 gadu ilgam apbūves tiesībām,  ar nosacījumu "un ir spēkā visa aizdevuma līguma darbības laikā</w:t>
            </w:r>
            <w:r w:rsidR="00000000" w:rsidRPr="00000000" w:rsidDel="00000000">
              <w:rPr>
                <w:rtl w:val="0"/>
              </w:rPr>
              <w:t xml:space="preserve">"  un ar MKN projekta 22.1.apakšpunkta nosacījumiem. Nepieciešamības gadījuma lūdzam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viennozīmīgai izpratnei papildināt noteikumu projekta anotācijas 1.3. sadaļas aprakstu "Atbalstam pieejamais finansējums" ar informāciju vai Eiropas Savienības kohēzijas politikas programmas 2021.–2027. gadam (turpmāk – Darbības programma) 3. grozījumu ietvaros jaunu atbalsta pasākumu 1.5.1. SAM “Rūpniecisko spēju uzlabošanai, prioritāti divējāda vai militāra lietojuma produkcijas attīstībā” ir apstiprinājusi Eiropas Komisija. Ja minētos Darbības programmas grozījumus nav apstiprinājusi Eiropas Komisija, tad Ministru kabineta sēdes protokollēmums ir papildināms ar Ekonomikas ministrija rīcību, ja Eiropas Komisija tos neapstiprina.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anotācijas 3.sadaļā atspoguļoto ietekmi uz valsts budžetu, ievērojot, ka 1. un 1.1.punktā jānorāda Eiropas Reģionālās attīstības fonda finansējuma daļa, 2. un 2.1.punktā kopējais finansējuma apmērs, savukārt 3., 3.1., 5. un 5.1. punktā valsts budžeta finansējuma daļa, turklāt finansējums norādams tikai izmaiņu ailēs. Vienlaikus lūdzam precizēt 6.punktā norādīto finansējuma sadalījumu pa gadiem, jo šobrīd to kopsumma neveido kopējo pasākumam plānoto finansējuma apmēru 40 000 000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programmas izveidošanu, lai veicinātu un stiprinātu aizsardzības nozares rūpnieciskās spējas Latvijā, vienlaikus lūdzam Ekonomikas ministriju visā noteikumu projektā salāgot normas ar ministrijas izvēlētajiem finanšu instrumentu veidiem (kombinētie finanšu instrumenti- garantijas, aizdevumi) un plānoto atbalsta maksimālo apmēru ar programmai faktiski pieejamo finansējumu- gan publisko finansējumu, kas ir piešķirts pasākumam, gan ņemot vērā aizņemšanās iespējas programmas īstenošanai tuvāko gadu laikā. Tāpat lūdzam skaidrāk formulēt plānoto investīciju projektu izskatīšanas secību, ņemot vērā ierobežoto finansējumu, kas programmai pieejams, kā arī noteikumu projektā minēto, ka programma paralēli īstenojama gan saskaņā ar GBER, gan investīciju projektiem, kas tiek īstenoti vienīgi militārā jomā un par kuriem saņemts Aizsardzības ministrijas atzinums, kā ne-komercdarbības atbalsta veidā, kā arī minēto, ka lai nodrošinātu projektu prioritāru izskatīšanu Altum ir jāveido komisija, iesaistot Aizsardzības  ministrijas un Ekonomikas ministrijas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1.5.1. specifisko atbalsta mērķi "Rūpniecisko spēju uzlabošana, prioritāti divējāda vai militāra lietojuma produkcijas attīstībā" (turpmāk – pasākums);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Ekonomikas ministrijas uzmanību uz nepieciešamību precizēt 1.5.1.SAM nosaukumu atbilstoši REARM regulas Nr. 2025/1914 tulkojumam un attiecīgi arī Eiropas Savienības kohēzijas politikas programmā 2021.–2027. gadam ietvertajam SAM nosaukumam.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1.5.1. specifisko atbalsta mērķi          "Rūpniecisko spēju uzlabošana aizsardzības stiprināšanai, prioritāti piešķirot divējāda lietojuma spējām" (turpmāk – pasākums);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tam saskaņā ar Valsts ieņēmumu dienesta administrēto nodokļu (nodevu) parādnieku datubāzē publiski pieejamo informāciju nav nodokļu vai nodevu parādu, tai skaitā valsts sociālās apdrošināšanas obligāto iemaksu parādu, kas kopsummā pārsniedz 150 euro, izņemot nodokļu maksājumus, kuru maksāšanas termiņš saskaņā ar likuma "Par nodokļiem un nodevām" 24. panta pirmo, 1.3 un 1.7 daļu ir pagarināts, sadalīts termiņos, atlikts vai atkārtoti sadalīts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viens no vienotajiem Eiropas Savienības fondu kritērijiem attiecībā uz projekta vērtēšanu nosaka, ka projekta iesniedzējam un projekta sadarbības partnerim (ja tāds ir paredzēts), </w:t>
            </w:r>
            <w:r w:rsidR="00000000" w:rsidRPr="00000000" w:rsidDel="00000000">
              <w:rPr>
                <w:b w:val="1"/>
                <w:rtl w:val="0"/>
              </w:rPr>
              <w:t xml:space="preserve">ir jābūt labai nodokļu saistību izpildei</w:t>
            </w:r>
            <w:r w:rsidR="00000000" w:rsidRPr="00000000" w:rsidDel="00000000">
              <w:rPr>
                <w:rtl w:val="0"/>
              </w:rPr>
              <w:t xml:space="preserve"> vai Latvijas Republikā nav Valsts ieņēmumu dienesta administrēto nodokļu parādu, tai skaitā valsts sociālās apdrošināšanas obligāto iemaksu parādi, kas kopsummā katram atsevišķi pārsniedz 150 euro, vai pārsniedz citu MK noteikumos par SAM īstenošanu noteikto  pieļaujamo nodokļu parāda apjomu. Ņemot vērā iepriekšminēto aicinām noteikumu projekta 2.7.2. apakšpunktu precizēt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tam ir laba nodokļu saistību izpilde vai saskaņā ar Valsts ieņēmumu dienesta administrēto nodokļu (nodevu) parādnieku datubāzē publiski pieejamo informāciju nav nodokļu vai nodevu parādu, tai skaitā valsts sociālās apdrošināšanas obligāto iemaksu parādu, kas kopsummā pārsniedz 150 euro,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Iesniedzot projekta pieteikumu sabiedrībā "Altum" atbalsta saņemšanai, gala saņēmējs iesniedz arī šo noteikumu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minēto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samazināšanas nolūkos aizdevuma un garantiju ņēmējiem, aicinām EM izvērtēt iespējas šim pakalpojumam piemērot 'vienas pieturas principu" (</w:t>
            </w:r>
            <w:r w:rsidR="00000000" w:rsidRPr="00000000" w:rsidDel="00000000">
              <w:rPr>
                <w:i w:val="1"/>
                <w:rtl w:val="0"/>
              </w:rPr>
              <w:t xml:space="preserve">one stop shop</w:t>
            </w:r>
            <w:r w:rsidR="00000000" w:rsidRPr="00000000" w:rsidDel="00000000">
              <w:rPr>
                <w:rtl w:val="0"/>
              </w:rPr>
              <w:t xml:space="preserve">), nodrošinot, ka uzņēmumiem nav jāvēršas vairāk kā vienā institūcijā viena aizdevuma un/vai garantijas saņemšanai. ALTUM un Aizsardzības ministrijas savstarpējās informācijas apmaiņa jau paredzēta šī MK noteikumu projekta 18.punkta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Piešķirtā maksimālā kapitāla atlaide ir līdz 30 procentiem no projekta attiecināmajām izmaksām, bet ne vairāk kā 35 000 000 euro. Projektiem, kam piešķir finansējumu saskaņā ar šo noteikumu </w:t>
            </w:r>
            <w:r w:rsidR="00000000" w:rsidRPr="00000000" w:rsidDel="00000000">
              <w:rPr>
                <w:rtl w:val="0"/>
              </w:rPr>
              <w:t xml:space="preserve">13.1. </w:t>
            </w:r>
            <w:r w:rsidR="00000000" w:rsidRPr="00000000" w:rsidDel="00000000">
              <w:rPr>
                <w:rtl w:val="0"/>
              </w:rPr>
              <w:t xml:space="preserve">apakšpunktu</w:t>
            </w:r>
            <w:r w:rsidR="00000000" w:rsidRPr="00000000" w:rsidDel="00000000">
              <w:rPr>
                <w:rtl w:val="0"/>
              </w:rPr>
              <w:t xml:space="preserve">, maksimālā kapitāla atlaide nepārsniedz šo noteikumu </w:t>
            </w:r>
            <w:r w:rsidR="00000000" w:rsidRPr="00000000" w:rsidDel="00000000">
              <w:rPr>
                <w:rtl w:val="0"/>
              </w:rPr>
              <w:t xml:space="preserve">25.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pieļaujamo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30. punkta redakciju - ņemot vērā, ka kapitāla atlaide var tikt piešķirta maksimālās atbalsta intensitātes apmērā, pastāv risks, ka valsts atbalsta intensitāte var tikt pārsniegta, ja Altum aizdevuma apjoms būs lielāks par kapitāla atlaidi. Šādā gadījumā aizdevuma subsīdijas ekvivalents var radīt pārsniegumu, kas neatbilst MK noteikumos 25. un 27. punktā noteiktajai pieļaujamajai intensitātei.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Piešķirtā maksimālā kapitāla atlaide ir līdz 30 procentiem no projekta attiecināmajām izmaksām, bet ne vairāk kā 35 000 000 euro. Projektiem, kam piešķir finansējumu saskaņā ar šo noteikumu 13.1. apakšpunktu, kapitāla atlaides piešķiršana notiek, ievērojot šo noteikumu 25. un 27. punktā minēto pieļaujamo valsts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Uz sabiedrības "Altum" aizdevuma kapitāla atlaidi var pretendēt gala saņēmēji, kuri pēc projekta pabeigšanas trīs gadu pēcuzraudzības periodā vai vienu gadu, ja piešķirts finansējums saskaņā ar šo noteikumu </w:t>
            </w:r>
            <w:r w:rsidR="00000000" w:rsidRPr="00000000" w:rsidDel="00000000">
              <w:rPr>
                <w:rtl w:val="0"/>
              </w:rPr>
              <w:t xml:space="preserve">13.2. </w:t>
            </w:r>
            <w:r w:rsidR="00000000" w:rsidRPr="00000000" w:rsidDel="00000000">
              <w:rPr>
                <w:rtl w:val="0"/>
              </w:rPr>
              <w:t xml:space="preserve">vai</w:t>
            </w:r>
            <w:r w:rsidR="00000000" w:rsidRPr="00000000" w:rsidDel="00000000">
              <w:rPr>
                <w:rtl w:val="0"/>
              </w:rPr>
              <w:t xml:space="preserve"> </w:t>
            </w:r>
            <w:r w:rsidR="00000000" w:rsidRPr="00000000" w:rsidDel="00000000">
              <w:rPr>
                <w:rtl w:val="0"/>
              </w:rPr>
              <w:t xml:space="preserve">40.2. </w:t>
            </w:r>
            <w:r w:rsidR="00000000" w:rsidRPr="00000000" w:rsidDel="00000000">
              <w:rPr>
                <w:rtl w:val="0"/>
              </w:rPr>
              <w:t xml:space="preserve">apakšpunktu</w:t>
            </w:r>
            <w:r w:rsidR="00000000" w:rsidRPr="00000000" w:rsidDel="00000000">
              <w:rPr>
                <w:rtl w:val="0"/>
              </w:rPr>
              <w:t xml:space="preserve">, ir sasnieguši visus šādus rādītājus: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Ekonomikas ministrijai pārskatīt šī punkta redakciju, jo tā nav skaidri formulēta (skat. "uz vienu gadu"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Aizdevumam gala saņēmējs vai garantijai kredītiestāde piesakās iesniedzot projekta pieteikumu sabiedrībā "Altum".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2.2.apakšpunktā noteikto, ka gala saņēmējs piesakās atbalstam, iesniedzot projekta pieteikumu akciju sabiedrībā "Attīstības finanšu institūcija Altum", norādām uz pretrunu ar MK noteikumu projekta 52.punktu, kurā noteikts, ka garantijai piesakās kredītiestāde, iesniedzot projekta pieteikumu sabiedrībā "Altum". Ņemot vērā to, ka kredītiestāde iesniedz garantijas pieteikumu, lūdzam precizēt MK noteikumus un anotāciju, lai būtu skaidrs, kā Altum izvērtēs garantijas gadījumā visus nosacījumus attiecībā uz projektu un gala saņēmēju, kas izriet no noteikumu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Sabiedrībai "Altum" ir tiesības neslēgt aizdevuma līgumu ar gala saņēmēju un atteikt izmaksu (tai skaitā gadījumos, kad lēmums par atbalsta piešķiršanu jau ir pieņemts), ja sabiedrībai "Altum" kļūst zināmi apstākļi, ka gala saņēmējs vai projekts vairs neatbilst šo noteikumu nosacījumiem un atbalstu nevar izsniegt saskaņā ar sabiedrībai "Altum" saistošajiem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izpratnei noteikumu projekta 60.punktā vai anotācijas ietvaros ietvert precīzu atsauci uz sabiedrības "Altum" saistošajiem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Gala saņēmējam atbalstu piešķir brīdī, kad sabiedrība "Altum" pieņem lēmumu par aizdevuma, paralēlā aizdevuma vai garantijas ar kapitāla atlaidi piešķiršanu, lēmumā nosakot atbalsta maksimālo apjomu, atbalsta intensitāti un maksimālo pieejamo kapitāla atlaidi. Atbalstu piešķir, ja gala saņēmējs atbilst šajos noteikumos minētajām komercdarbības atbalsta saņemšanas prasībām saskaņā ar šo noteikumu </w:t>
            </w:r>
            <w:r w:rsidR="00000000" w:rsidRPr="00000000" w:rsidDel="00000000">
              <w:rPr>
                <w:rtl w:val="0"/>
              </w:rPr>
              <w:t xml:space="preserve">13.1. </w:t>
            </w:r>
            <w:r w:rsidR="00000000" w:rsidRPr="00000000" w:rsidDel="00000000">
              <w:rPr>
                <w:rtl w:val="0"/>
              </w:rPr>
              <w:t xml:space="preserve">vai</w:t>
            </w:r>
            <w:r w:rsidR="00000000" w:rsidRPr="00000000" w:rsidDel="00000000">
              <w:rPr>
                <w:rtl w:val="0"/>
              </w:rPr>
              <w:t xml:space="preserve"> </w:t>
            </w:r>
            <w:r w:rsidR="00000000" w:rsidRPr="00000000" w:rsidDel="00000000">
              <w:rPr>
                <w:rtl w:val="0"/>
              </w:rPr>
              <w:t xml:space="preserve">40.1. </w:t>
            </w:r>
            <w:r w:rsidR="00000000" w:rsidRPr="00000000" w:rsidDel="00000000">
              <w:rPr>
                <w:rtl w:val="0"/>
              </w:rPr>
              <w:t xml:space="preserve">apakšpunkt</w:t>
            </w:r>
            <w:r w:rsidR="00000000" w:rsidRPr="00000000" w:rsidDel="00000000">
              <w:rPr>
                <w:rtl w:val="0"/>
              </w:rPr>
              <w:t xml:space="preserve">ā minēto komercdarbības atbalsta regulējumu, vai šo noteikumu nosacījumiem, ja gala saņēmējam piešķir finansējumu saskaņā ar šo noteikumu </w:t>
            </w:r>
            <w:r w:rsidR="00000000" w:rsidRPr="00000000" w:rsidDel="00000000">
              <w:rPr>
                <w:rtl w:val="0"/>
              </w:rPr>
              <w:t xml:space="preserve">13.2.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40.2. </w:t>
            </w:r>
            <w:r w:rsidR="00000000" w:rsidRPr="00000000" w:rsidDel="00000000">
              <w:rPr>
                <w:rtl w:val="0"/>
              </w:rPr>
              <w:t xml:space="preserve">apakšpunktu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pasākumā plānoto piešķirt finansējumu sabiedrības "Altum" aizdevumam ar kapitāla atlaidi, paralēlajam aizdevumam ar kapitāla atlaidi vai garantijai ar kapitāla atlaidi, lūdzam precizēt noteikumu projekta 61.punktu,vienlaikus pārskatot visu noteikumu projektu, lietojot vienotu terminoloģiju "aizdevums ar kapitāla atlaidi" un "paralēlais aizdevums ar kapitāla atlaidi".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Kapitāla atlaide tiek piemērota trīs daļās. Pēc katra pēcuzraudzības gada var tikt piemērota viena trešdaļa no šo noteikumu </w:t>
            </w:r>
            <w:r w:rsidR="00000000" w:rsidRPr="00000000" w:rsidDel="00000000">
              <w:rPr>
                <w:rtl w:val="0"/>
              </w:rPr>
              <w:t xml:space="preserve">30. </w:t>
            </w:r>
            <w:r w:rsidR="00000000" w:rsidRPr="00000000" w:rsidDel="00000000">
              <w:rPr>
                <w:rtl w:val="0"/>
              </w:rPr>
              <w:t xml:space="preserve">vai</w:t>
            </w:r>
            <w:r w:rsidR="00000000" w:rsidRPr="00000000" w:rsidDel="00000000">
              <w:rPr>
                <w:rtl w:val="0"/>
              </w:rPr>
              <w:t xml:space="preserve">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minētās sabiedrības "Altum" kapitāla atlaides daļas, ievērojot šo noteikumu 30. un 36. punktā minētos nosacījumus. Projektiem, kam piešķirts finansējums saskaņā ar šo noteikumu 13.2. un 38.2. apakšpunktu, piemēro kapitāla atlaidi vienā daļā ievērojot šo noteikumu </w:t>
            </w:r>
            <w:r w:rsidR="00000000" w:rsidRPr="00000000" w:rsidDel="00000000">
              <w:rPr>
                <w:rtl w:val="0"/>
              </w:rPr>
              <w:t xml:space="preserve">32.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35.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projektā nav 38.2.apakšpunkta, lūdzam pārskatīt atsauci.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sabiedrības "Altum" aizdevumam un paralēlam aizdevumam subsīdijas ekvivalents ir vienāds ar komersantam piešķirtā aizdevuma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šī pasākuma ietvaros nav plānota aizdevumu un paralēlo aizdevumu bez kapitāla atlaides izsniegšana, aicinām Ekonomikas ministriju  izvērtēt nepieciešamību šo MK noteikumu projekta punkta normu, kas neattiecas uz šo pasākumu,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nodrošināt komunikācijas un vizuālās identitātes pasākumus saskaņā ar Eiropas Parlamenta un Padomes 2021. gada 24. jūnija Regulu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47. un 50. pantu,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anotāciju ar informāciju, ka tiks nodrošināti projekta komunikācijas un vizuālās identitātes prasību izpildes pasākumi saskaņā ar noteikumu projekta 70.1. apakšpunktā minētajiem normatīvajiem aktiem un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Gala saņēmējs projekta pieteikumā pamato un projekta īstenošanas laikā, kā arī visā amortizācijas periodā atbilstoši normatīvajiem aktiem grāmatvedības jomā nodrošina, ka  projekts, kam piešķirts finansējums saskaņā ar šo noteikumu </w:t>
            </w:r>
            <w:r w:rsidR="00000000" w:rsidRPr="00000000" w:rsidDel="00000000">
              <w:rPr>
                <w:rtl w:val="0"/>
              </w:rPr>
              <w:t xml:space="preserve">13.2. </w:t>
            </w:r>
            <w:r w:rsidR="00000000" w:rsidRPr="00000000" w:rsidDel="00000000">
              <w:rPr>
                <w:rtl w:val="0"/>
              </w:rPr>
              <w:t xml:space="preserve">vai</w:t>
            </w:r>
            <w:r w:rsidR="00000000" w:rsidRPr="00000000" w:rsidDel="00000000">
              <w:rPr>
                <w:rtl w:val="0"/>
              </w:rPr>
              <w:t xml:space="preserve"> </w:t>
            </w:r>
            <w:r w:rsidR="00000000" w:rsidRPr="00000000" w:rsidDel="00000000">
              <w:rPr>
                <w:rtl w:val="0"/>
              </w:rPr>
              <w:t xml:space="preserve">40.2. </w:t>
            </w:r>
            <w:r w:rsidR="00000000" w:rsidRPr="00000000" w:rsidDel="00000000">
              <w:rPr>
                <w:rtl w:val="0"/>
              </w:rPr>
              <w:t xml:space="preserve">apakšpunkt</w:t>
            </w:r>
            <w:r w:rsidR="00000000" w:rsidRPr="00000000" w:rsidDel="00000000">
              <w:rPr>
                <w:rtl w:val="0"/>
              </w:rPr>
              <w:t xml:space="preserve">u, atbilst ar komercdarbības atbalstu nesaistītam militāram projektam un neuzsāk darbības, kurām sniegtais atbalsts būtu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skaidri definētu par kādu amortizācijas periodu MK noteikumu projekts runā, lūdzam noteikumu projekta 9., 71. un 72.punktā, kā arī anotācijā, lietot jēdzienu "ieguldījumu amortizācija".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Pasākuma īstenošanā atbalstu nepiešķir darbībām, kuras uzskatāmas par faktiski pabeigtām vai pilnībā īstenotām pirms ir iesniegts projekta pieteikums par atbalsta programmas finansējuma saņemšanu, ievērojot regulas 2021/1060 63. panta 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noteikumu projekta 74.punktu, ņemot vērā, ka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58. panta "Finanšu instrumenti" 2. punkta otrā daļa paredz, ka "Šādu atbalstu sniedz tikai par tiem investīciju elementiem, kas </w:t>
            </w:r>
            <w:r w:rsidR="00000000" w:rsidRPr="00000000" w:rsidDel="00000000">
              <w:rPr>
                <w:u w:val="single"/>
                <w:rtl w:val="0"/>
              </w:rPr>
              <w:t xml:space="preserve">investīciju lēmuma pieņemšanas dienā nav fiziski pabeigti vai pilnībā īstenoti."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74.Pasākuma īstenošanā atbalstu nepiešķir darbībām, kuras uzskatāmas par faktiski pabeigtām vai pilnībā īstenotām, pirms investīciju lēmuma pieņemšanas dienas, ievērojot Regula Nr. 2021/1060 58.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atsauci uz MK noteikumu punktu, kurā ir minēti trīs rādītāji, kas jāsasniedz pēc projekta īstenošanas un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svītrojot tekstu "</w:t>
            </w:r>
            <w:r w:rsidR="00000000" w:rsidRPr="00000000" w:rsidDel="00000000">
              <w:rPr>
                <w:i w:val="1"/>
                <w:rtl w:val="0"/>
              </w:rPr>
              <w:t xml:space="preserve">lai arī šobrīd tas nav iespējams pie Darbības programmas vidusposma pārdalēm, pieteikums ir pārskatāms, ņemot vērā visu Darbības programmas kopējo izpildes ātrumu, gatavojot 4.grozījumus Darbības programmā</w:t>
            </w:r>
            <w:r w:rsidR="00000000" w:rsidRPr="00000000" w:rsidDel="00000000">
              <w:rPr>
                <w:rtl w:val="0"/>
              </w:rPr>
              <w:t xml:space="preserve">", ņemot vērā, ka attiecīgs Ministru kabineta lēmums pašreiz nav pieņemts.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finansējums tika pārvirzīts no 1.2.1.2. pasākuma “Produktivitātes aizdevumi uzņēmumu inovācijām”, nevis 1.2.1.1. pasākuma "Atbalsts jaunu produktu attīstībai un internacionalizācijai”. Lūdzam atbilstoši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anotācijas sadaļā "Projekta mērķis" ietverto informāciju, ka "</w:t>
            </w:r>
            <w:r w:rsidR="00000000" w:rsidRPr="00000000" w:rsidDel="00000000">
              <w:rPr>
                <w:i w:val="1"/>
                <w:rtl w:val="0"/>
              </w:rPr>
              <w:t xml:space="preserve">pašlaik Eiropas Komisija virza grozījumus Eiropas Parlamenta un Padomes 2021. gada 24. jūnija Regulā (ES) 2021/1058 [..], vēršam uzmanību, ka </w:t>
            </w:r>
            <w:r w:rsidR="00000000" w:rsidRPr="00000000" w:rsidDel="00000000">
              <w:rPr>
                <w:rtl w:val="0"/>
              </w:rPr>
              <w:t xml:space="preserve">minētie regulas grozījumi ir pieņemti š.g. 18.septembrī ar  Regulu  Nr. 2025/1914. Aicinām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"Atbalsta veids" ir nepieciešami šādi redakcionāli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kontekstā ar minēto, ka "Nemateriālos aktīvus lielajiem komersantiem var finansēt līdz 50 % no sākotnējā ieguldījuma apmēra, vidējiem komersantiem līdz 100 %., aicinām EM  teikumu precizēt, lai tas atbilstu MKN 44.6.apakšpunktam, proti, ka "s</w:t>
            </w:r>
            <w:r w:rsidR="00000000" w:rsidRPr="00000000" w:rsidDel="00000000">
              <w:rPr>
                <w:i w:val="1"/>
                <w:u w:val="single"/>
                <w:rtl w:val="0"/>
              </w:rPr>
              <w:t xml:space="preserve">ī</w:t>
            </w:r>
            <w:r w:rsidR="00000000" w:rsidRPr="00000000" w:rsidDel="00000000">
              <w:rPr>
                <w:u w:val="single"/>
                <w:rtl w:val="0"/>
              </w:rPr>
              <w:t xml:space="preserve">kajiem (mikro), mazajiem vai vidējiem </w:t>
            </w:r>
            <w:r w:rsidR="00000000" w:rsidRPr="00000000" w:rsidDel="00000000">
              <w:rPr>
                <w:rtl w:val="0"/>
              </w:rPr>
              <w:t xml:space="preserve">komersantiem nemateriālos aktīvus var finansēt līdz 100 procentiem no sākotnējo ieguldījumu kopējām attiecināmajām ieguldījumu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kontekstā ar minēto, ka "a</w:t>
            </w:r>
            <w:r w:rsidR="00000000" w:rsidRPr="00000000" w:rsidDel="00000000">
              <w:rPr>
                <w:i w:val="1"/>
                <w:rtl w:val="0"/>
              </w:rPr>
              <w:t xml:space="preserve">izdevuma un garantijas </w:t>
            </w:r>
            <w:r w:rsidR="00000000" w:rsidRPr="00000000" w:rsidDel="00000000">
              <w:rPr>
                <w:i w:val="1"/>
                <w:u w:val="single"/>
                <w:rtl w:val="0"/>
              </w:rPr>
              <w:t xml:space="preserve">mērķis ir</w:t>
            </w:r>
            <w:r w:rsidR="00000000" w:rsidRPr="00000000" w:rsidDel="00000000">
              <w:rPr>
                <w:i w:val="1"/>
                <w:rtl w:val="0"/>
              </w:rPr>
              <w:t xml:space="preserve"> sniegt atbalstu  jaunu ēku būvniecībai, iekārtu iegādei, infrastruktūras pieslēgumu izveidei un nemateriālo aktīvu iegādei, tad , lai  </w:t>
            </w:r>
            <w:r w:rsidR="00000000" w:rsidRPr="00000000" w:rsidDel="00000000">
              <w:rPr>
                <w:rtl w:val="0"/>
              </w:rPr>
              <w:t xml:space="preserve">mazinātu interpretācijas iespējas, aicinām svītrot vārdus 'mērķis ir sniegt atbalstu',  jo pasākumā mērķis ir noteikts MKN projekta 3.punktā.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MK noteikumu projekta anotācijas 1.3.sadaļā veikt šādus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kontekstā ar minēto </w:t>
            </w:r>
            <w:r w:rsidR="00000000" w:rsidRPr="00000000" w:rsidDel="00000000">
              <w:rPr>
                <w:u w:val="single"/>
                <w:rtl w:val="0"/>
              </w:rPr>
              <w:t xml:space="preserve">kopējo</w:t>
            </w:r>
            <w:r w:rsidR="00000000" w:rsidRPr="00000000" w:rsidDel="00000000">
              <w:rPr>
                <w:rtl w:val="0"/>
              </w:rPr>
              <w:t xml:space="preserve"> atbalsta programmai pieejamo finansējumu - 40 000 000 euro, tad atsaucoties uz MKN projekta 5.punktu, kas nosaka, ka ALTUM šīs programmas īstenošanai var piesaistīt VK aizdevumu vai aizņemoties no starptautiskām finanšu institūcijām, lai mazinātu interpretācijas iespējas, aicinām vārdus 'kopējais', aizstāt ar 'publiskais (ERAF un valsts budžeta) finansējums (minēts anotācijas 6.lpp un 9.lpp).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kontekstā ar minēto, ka "j</w:t>
            </w:r>
            <w:r w:rsidR="00000000" w:rsidRPr="00000000" w:rsidDel="00000000">
              <w:rPr>
                <w:i w:val="1"/>
                <w:rtl w:val="0"/>
              </w:rPr>
              <w:t xml:space="preserve">a projekts neatbilst militārās jomas vai divējāda lietojuma specifikai, AM atzinumu nepiešķir, a</w:t>
            </w:r>
            <w:r w:rsidR="00000000" w:rsidRPr="00000000" w:rsidDel="00000000">
              <w:rPr>
                <w:rtl w:val="0"/>
              </w:rPr>
              <w:t xml:space="preserve">icinām  neierobežot AM sniegt atbildi pieteicējam arī par to, ka projekts neatbilst militārās jomas vai divējāda lietojuma specifikai.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35.punkta un anotācijas izriet, ka Ekonomikas ministrija īsteno rādītāju pēcuzraudzību. Lūdzam anotācijas ietvaros skaidrot no kādiem līdzekļiem tiks segta attiecīgā nosacījuma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ietvaros skaidrot par noteikumu projekta ietekmi uz  Darbības programmas 1.2.1. specifiskā atbalsta mērķa "Pētniecības un inovāciju kapacitātes stiprināšana un progresīvu tehnoloģiju ieviešana uzņēmumiem" 1.2.1.1. pasākuma "Atbalsts jaunu produktu attīstībai un internacionalizācijai” finansējuma saņēmējiem un nepieciešamajiem grozījumiem minētā pasākuma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19.11.2025.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19.11.2025.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Atzinumi_25-TA-1652.docx</dc:title>
</cp:coreProperties>
</file>

<file path=docProps/custom.xml><?xml version="1.0" encoding="utf-8"?>
<Properties xmlns="http://schemas.openxmlformats.org/officeDocument/2006/custom-properties" xmlns:vt="http://schemas.openxmlformats.org/officeDocument/2006/docPropsVTypes"/>
</file>