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11. janvāra noteikumos Nr. 11 "Kārtība, kādā izglītojamie tiek uzņemti vispārējās izglītības programmās un atskaitīti no tām, kā arī obligātās prasības izglītojamo pārcelšanai nākamajā klasē"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precizēt zemāk minēto rindkopu, ņemot vērā, ka pašlaik ir uzsākts darbs pie standartizētas informācijas apmaiņas pieejas un minēto materiālu izstrādes gadījumos, kad bērnam ir ierobežojumi fiziskajām aktivitātēm sporta stundu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"Ņemot vērā minēto sporta pedagogu un ārstniecības personu papildu atbalstam sadarbībā ar Valsts izglītības satura centru, Veselības ministriju, RSU Latvijas Sporta pedagoģijas akadēmiju, sporta pedagogiem </w:t>
            </w:r>
            <w:r w:rsidR="00000000" w:rsidRPr="00000000" w:rsidDel="00000000">
              <w:rPr>
                <w:b w:val="1"/>
                <w:i w:val="1"/>
                <w:rtl w:val="0"/>
              </w:rPr>
              <w:t xml:space="preserve">sagatavots informācijas apkopojums</w:t>
            </w:r>
            <w:r w:rsidR="00000000" w:rsidRPr="00000000" w:rsidDel="00000000">
              <w:rPr>
                <w:i w:val="1"/>
                <w:rtl w:val="0"/>
              </w:rPr>
              <w:t xml:space="preserve">, kas nepieciešams mācību priekšmeta (kursa) “Sports un veselība” pedagogiem, lai izveidotu individuālo izglītības programmas apguves plānu gadījumos, ja izglītojamam ir ilgstoši un būtiski veselības traucējumi (sākot no viena semestra līdz vienam mācību gadam un ko apliecina izglītības iestādē saņemtie ģimenes ārsta vai ārsta speciālista ieteikumi un norādījumi).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Patrīcija Kradiņa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23-TA-2204</w:t>
    </w:r>
    <w:r>
      <w:br/>
    </w:r>
    <w:r w:rsidR="00000000" w:rsidRPr="00000000" w:rsidDel="00000000">
      <w:rPr>
        <w:rtl w:val="0"/>
      </w:rPr>
      <w:t xml:space="preserve">Izdrukāts 18.09.2024. 16.07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23-TA-2204</w:t>
    </w:r>
    <w:r>
      <w:br/>
    </w:r>
    <w:r w:rsidR="00000000" w:rsidRPr="00000000" w:rsidDel="00000000">
      <w:rPr>
        <w:rtl w:val="0"/>
      </w:rPr>
      <w:t xml:space="preserve">Izdrukāts 18.09.2024. 16.07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Atzinumi_23-TA-2204.docx</dc:title>
</cp:coreProperties>
</file>

<file path=docProps/custom.xml><?xml version="1.0" encoding="utf-8"?>
<Properties xmlns="http://schemas.openxmlformats.org/officeDocument/2006/custom-properties" xmlns:vt="http://schemas.openxmlformats.org/officeDocument/2006/docPropsVTypes"/>
</file>