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Pasākuma ietvaros līdz 2029. gada 31. decembrim sasniedzams specifiskais rezultāta rādītājs: bērni ar attīstības grūtībām, nepietiekamībām vai to veidošanās risku, kuriem veicināta pozitīva attīstība un pašrealizācija, – 14 150 (kumulatīvais skaits).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šī rezultāta rādītāja sadalījumu pa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Pasākuma ietvaros finansējuma saņēmējam un sadarbības partnerim ir atbalstāmas šādas darbības, kas veido agrīnā preventīvā atbalsta pakalpojumu sistēmu bērnu attīstības vajadzību atbalstam: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vai anotācijā noteikt, kuras darbības veido katru 5.1.punktā un 5.2.punktā noteikto iznākuma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Šo noteikumu </w:t>
            </w:r>
            <w:r w:rsidR="00000000" w:rsidRPr="00000000" w:rsidDel="00000000">
              <w:rPr>
                <w:rtl w:val="0"/>
              </w:rPr>
              <w:t xml:space="preserve">18.2. </w:t>
            </w:r>
            <w:r w:rsidR="00000000" w:rsidRPr="00000000" w:rsidDel="00000000">
              <w:rPr>
                <w:rtl w:val="0"/>
              </w:rPr>
              <w:t xml:space="preserve">apakšpunktā</w:t>
            </w:r>
            <w:r w:rsidR="00000000" w:rsidRPr="00000000" w:rsidDel="00000000">
              <w:rPr>
                <w:rtl w:val="0"/>
              </w:rPr>
              <w:t xml:space="preserve"> minētās tiešās attiecināmās izmaksas ietver šādas izmaksu pozīcijas: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detalizēti skaidrot pasākuma plānotās izmaksas, t.sk. lūdzam skaidrot, kādas izmaksas paredzētas projekta vadības un /vai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ārvalstu komandējumu izmaksas projekta vadītājam un īstenošanas personālam un iekšzemes komandējumu un darba braucienu izmaksas, kā arī mācību maksa atbilstoši normatīvajiem aktiem par kārtību, kādā atlīdzināmi ar komandējumiem saistītie izdevumi.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 projekta 19.10. apakšpunktu, norādot, kuras darbības ietvaros ir paredzētas minētas izmaksas un/ vai darba braucienu un komandējumu izmaksas paredzētas projekta vadības un/vai īstenošanas personālam, t.sk. finansējuma saņēmēja vai sadarbības partneru.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atsevišķi izdalīt apakšpunktu par ārvalstu komandējumu izmaksām, norādot, kuru atbalstāmo darbību nodrošināšanai tiek plānotas ārvalstu komandējumu izmaksas, t.sk. finansējuma saņēmēja vai sadarbības partneru.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pakalpojuma izmaksas (maksa par degvielu, transportlīdzekļu noma, transporta pakalpojumu pirkšana, maksa par sabiedriskā transporta izmantošanu)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  kā arī transportlīdzekļa (tai skaitā specializētā) pakalpojuma pirkšana;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transportlīdzekļu nomas izmaksu iekļaušanu, ņemot vērā, ka "Vienas vienības izmaksu standarta likmes aprēķina un piemērošanas metodika 1 km izmaksām darbības programmas “Izaugsme un nodarbinātība” un Eiropas Savienības kohēzijas politikas programmas 2021.–2027.gadam  īstenošanai" šādu pozīciju neparedz.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Pasākuma un projekta īstenošanas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paredzot projekta iesniedzēja un sadarbības partnera pienākumu izstrādāt iekšējās kontroles sistēmu (iekšējo kārtību), ietverot tajā informāciju par interešu konflikta, krāpšanas, korupcijas risku un dubultā finansējuma novēršanas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anotācijā iekļaut skaidrojumu, norādot, ka projekta iesniedzēja un sadarbības partnera iestādē izveidojamā kontroles sistēma aptver šādus Regulas Nr. 2018/1046 , direktīvas Nr. 2014/24/ES , likuma “Par interešu konflikta novēršanu valsts amatpersonu darbībā”, Eiropas Komisijas paziņojuma Nr. C/2021/2119 par interešu konfliktu un Ministru kabineta 2017. gada 17. oktobra noteikumu Nr. 630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preventīvus pasākumus un konstatēšanas pasākumus interešu konflikta riska kontrolei , t. sk. paziņošanas procedūru, labošanas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pasākumus aizliegtās vienošanās riska kontrolei. Papildus projekta iesniedzēja un sadarbības partnera organizācijās ir ieviests ētikas kodekss un procedūras disciplināratbildības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arī ir izveidots ziņošanas mehānisms kompetentajām iestādēm par potenciālu administratīvu/kriminālatbildību un izveidota trauksmes celšanas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otrās kārtas ietvaros: bērni vecumā līdz 18 gadiem, kuri saņēmuši atbalstu, – 6900.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gadu līdz kuram ir jāsasniedz šis rādītājs.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Sadarbības partnerim var tikt piešķirts finansējums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13.punktā precizēt atsauci uz 12.punktu, norādot atsauci uz 17.punktu.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Boboviča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17,5 procentu apmērā no pārējām šo noteikumu 18.2. apakšpunktā minētajām pārējām projekta tiešajām attiecināmajām īstenošanas.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ievietot vārdu “izmaksām” aiz vārda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aprobēšanas un lokalizācijas izmaksas;un lokalizācijas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vārdus “un lokalizācijas izmaksas”, kas iekļauti divreiz.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ārvalstu komandējumu izmaksas projekta vadītājam un īstenošanas personālam un iekšzemes komandējumu un darba braucienu izmaksas, kā arī mācību maksa atbilstoši normatīvajiem aktiem par kārtību, kādā atlīdzināmi ar komandējumiem saistītie izdevumi. Iekšzemes komandējumu izmaksas tiek segtas atbilstoši vadošās iestādes metodikā "Vienas vienības izmaksu standarta likmes aprēķina un piemērošanas metodika iekšzemes komandējumu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un, ja nepieciešams, precizēt redakciju, vai ārvalstu komandējumu izmaksas ir attiecināmas tikai finansējuma saņēmēja vai arī sadarbības partneru projekta īstenošanas personālam.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pakalpojumu (uzņēmuma) līgumos, kurus slēdz šo noteikumu </w:t>
            </w:r>
            <w:r w:rsidR="00000000" w:rsidRPr="00000000" w:rsidDel="00000000">
              <w:rPr>
                <w:rtl w:val="0"/>
              </w:rPr>
              <w:t xml:space="preserve">19.1. </w:t>
            </w:r>
            <w:r w:rsidR="00000000" w:rsidRPr="00000000" w:rsidDel="00000000">
              <w:rPr>
                <w:rtl w:val="0"/>
              </w:rPr>
              <w:t xml:space="preserve">apakšpunktā</w:t>
            </w:r>
            <w:r w:rsidR="00000000" w:rsidRPr="00000000" w:rsidDel="00000000">
              <w:rPr>
                <w:rtl w:val="0"/>
              </w:rPr>
              <w:t xml:space="preserve"> minēto atbalstāmo darbību īstenošanai, atkarībā no līguma veida un satura var paredzēt avansa maksājumus ne vairāk kā 20 procentu apmērā no attiecīgā līguma summas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apakšpunktā minētas pakalpojumu izmaksas, nevis atbalstāmās darbības. Lūdzu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 informācijas uzkrāšanu par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iznākuma rādītāju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arī ar pienākumu uzkrāt datus par 6.punktā minētā rezultāta rādītāja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Tekstā "Noteikumu projekts nosaka papildu pienākumus finansējuma saņēmējam – pārliecināties, ka projekta ietvaros piešķirto finansējumu sadarbības partneris neplāno izmantot saimnieciskajai darbībai, uzsākot dalību projektā (noteikumu projekta </w:t>
            </w:r>
            <w:r w:rsidR="00000000" w:rsidRPr="00000000" w:rsidDel="00000000">
              <w:rPr>
                <w:u w:val="single"/>
                <w:rtl w:val="0"/>
              </w:rPr>
              <w:t xml:space="preserve">14.punkts</w:t>
            </w:r>
            <w:r w:rsidR="00000000" w:rsidRPr="00000000" w:rsidDel="00000000">
              <w:rPr>
                <w:rtl w:val="0"/>
              </w:rPr>
              <w:t xml:space="preserve">), kad līdz ar sadarbības līguma noslēgšanu partnerim tiks pieprasīts apliecinājums par finansējuma piešķiršanas ierobežojumu saimnieciskās darbības veikšanai." lūdzam precizēt atsauci uz noteikumu projektu, ir jābūt 15.6.punkts.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Rindkopā, kur aprakstīti personāla atlīdzības likmes aprēķina pamatprincipi, ir minēts, ka projekta vadītāja asistentam ir 39.1.apakšsaime III līmenis 9.mēnešalgu grupa. Vēršam uzmanību, ka 9. mēnešalgu grupa atbilst II līmenim, kas arī būtu atbilstošāka klasifikācija projekta vadītāja asistenta amatam. Lūdzu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pabeigt teikumu rindkopā, kur minēta informācija par kārtām: "Vienlaikus vēršam uzmanību, ka sadalot pasākumu divās kārtās ir veikta risku diversifikācija pasākumam, kura ietvaros plāno ieviest pakalpojumus ar starpnozaru iesaisti un kas iepriekš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Zemture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17.07.2023. 10.49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17.07.2023. 10.49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