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atļaujas izsniegšanu elektroenerģijas tiešās līnijas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apstiprinātu tiešās līnijas ierīkošanas būvprojektu;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samērīgi prasīt būvprojektu jau atļaujas izmiegšanas stadijā, kur komersantam nav garantijas, ka atļauja vispār tiks izsniegta. Ja šāda prasība tiek saglabāta, lūdzam to pamatot anotācijā. Spriežot pēc anotācijas teksta , ka tiešā līnija - "neveicina valsts enerģētisko neatkarību un nav vērtējama kā atjaunīgās enerģijas ražošanas veicināšanas pasākums", var secināt, ka prasība pēc būvprojekta var tikt uztverta kā administratīvais šķērslis, lai šādas līnijas tiktu mazāk izveidotas, kas tādā gadījumā nebūtu korekti attiecībā pret ieinteresētajiem komersantiem.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30.01.2026.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30.01.2026.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Atzinumi_25-TA-2702.docx</dc:title>
</cp:coreProperties>
</file>

<file path=docProps/custom.xml><?xml version="1.0" encoding="utf-8"?>
<Properties xmlns="http://schemas.openxmlformats.org/officeDocument/2006/custom-properties" xmlns:vt="http://schemas.openxmlformats.org/officeDocument/2006/docPropsVTypes"/>
</file>