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likumprojektā paredzēts izslēgt 88.panta otrās daļas otro teikumu, kas paredz  pienākumu ievērot komercdarbības atbalsta kontroles jomu regulējošu normatīvo aktu prasības pirms kapitālsabiedrības dibināšanas vai līdzdalības iegūšanas esošā kapitālsabiedrībā, lūdzam papildināt anotāciju ar skaidrojumu, kurā posmā turpmāk publiskā persona veiks izvērtējumu par atbilstību komercdarbības atbalsta kontroles regulējumam un nodrošinās šī izvērtējuma iesniegšanu Finanšu ministrijai saskaņā ar Komercdarbības atbalsta kontroles likuma 10. pantu,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10.09.2024. 18.02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10.09.2024. 18.02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Atzinumi_22-TA-155.docx</dc:title>
</cp:coreProperties>
</file>

<file path=docProps/custom.xml><?xml version="1.0" encoding="utf-8"?>
<Properties xmlns="http://schemas.openxmlformats.org/officeDocument/2006/custom-properties" xmlns:vt="http://schemas.openxmlformats.org/officeDocument/2006/docPropsVTypes"/>
</file>