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Farmācijas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Eiropas speciālās atļaujas (licences) turētājam, kuram ir tiesības veikt zāļu vairumtirdzniecību vai ražošanu, kurš tieši piegādā zāles ārstniecības iestādei un aptiekai Latvijā no citas Eiropas Savienības dalībvalsts vai Eiropas Ekonomikas zonas valsts, ir pienākums sniegt normatīvajos aktos par zāļu izplatīšanu noteikto informāciju par piegādātajām zālēm un zāļu vairumtirdzniecības darbībām ārstniecības iestādei un aptiekai, kura zāles saņem.</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Ministru kabinets izdod noteikumus Eiropas speciālās atļaujas (licences) turētājam, kuram ir tiesības veikt zāļu vairumtirdzniecību vai ražošanu, par prasībām sniegt informāciju par zāļu vairumtirdzniecību."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 pantā iekļauto likuma 25.</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2</w:t>
            </w:r>
            <w:r w:rsidR="00000000" w:rsidRPr="00000000" w:rsidDel="00000000">
              <w:rPr>
                <w:rtl w:val="0"/>
              </w:rPr>
              <w:t xml:space="preserve"> daļu un 6. pantā iekļauto 42.</w:t>
            </w:r>
            <w:r w:rsidR="00000000" w:rsidRPr="00000000" w:rsidDel="00000000">
              <w:rPr>
                <w:vertAlign w:val="superscript"/>
                <w:rtl w:val="0"/>
              </w:rPr>
              <w:t xml:space="preserve">1</w:t>
            </w:r>
            <w:r w:rsidR="00000000" w:rsidRPr="00000000" w:rsidDel="00000000">
              <w:rPr>
                <w:rtl w:val="0"/>
              </w:rPr>
              <w:t xml:space="preserve"> panta trešo daļu atbilstoši Ministru kabineta 2009. gada 3. februāra noteikumu Nr. 108 "Normatīvo aktu projektu sagatavošanas noteikumi"47. punktā noteiktajam, proti, pilnvarojumu izdot ārēju vai iekšēju normatīvo aktu veido, izmantojot vienu no šādiem paņēmieniem: frāze “Ministru kabinets nosaka” un normatīvā akta satura galveno virzienu apraksts; vai normatīvā akta satura galveno virzienu apraksts un frāze “nosaka Ministru kabinets”; vai “Ministru kabinets izdod noteikumus, kuros” un normatīvā akta satura galveno virzienu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08.11.2025. 17.54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08.11.2025. 17.54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Atzinumi_25-TA-588.docx</dc:title>
</cp:coreProperties>
</file>

<file path=docProps/custom.xml><?xml version="1.0" encoding="utf-8"?>
<Properties xmlns="http://schemas.openxmlformats.org/officeDocument/2006/custom-properties" xmlns:vt="http://schemas.openxmlformats.org/officeDocument/2006/docPropsVTypes"/>
</file>