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22. panta pirmās daļas pirmo teikumu pēc vārda "palielināšanai " ar vārdu " atjaunošanai";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Elektroenerģijas tirgus likuma 22. panta nosaukumā izdarīt likumprojekta "Grozījumi Elektroenerģijas tirgus likumā" (turpmāk – projekts) 2. pantā paredzēto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ka tas stāsies spēkā nākamajā dienā pēc izsludināšanas. Ievērojot minēto, aicinām precizēt projekta sākotnējās ietekmes novērtējuma ziņojuma (anotācijas) 1.2. apakšsadaļu un papildināt to ar šāda projekta spēkā stāšanās termiņa nepieciešamības skaidrojumu vai izslēgt no projekta spēkā stāšanās noteikumu, ja ir plānots, ka tas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1.3.apakšsadaļā norādīts, ka projekts sagatavots tai skaitā lai  to papildinātu atbilstoši </w:t>
            </w:r>
            <w:r w:rsidR="00000000" w:rsidRPr="00000000" w:rsidDel="00000000">
              <w:rPr>
                <w:i w:val="1"/>
                <w:rtl w:val="0"/>
              </w:rPr>
              <w:t xml:space="preserve">Eiropas Parlamenta un Padomes 2018. gada 11. decembra direktīvas 2018/2001/ES par no atjaunojamajiem energoresursiem iegūtas enerģijas izmantošanas veicināšanu</w:t>
            </w:r>
            <w:r w:rsidR="00000000" w:rsidRPr="00000000" w:rsidDel="00000000">
              <w:rPr>
                <w:rtl w:val="0"/>
              </w:rPr>
              <w:t xml:space="preserve"> (turpmāk - direktīva) 16. panta 6. punktā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Dirketīvas 16.panta 6.punkts paredz, ka "Dalībvalstis atvieglo jaudu atjaunināšanu esošām atjaunojamās enerģijas stacijām, nodrošinot vienkāršotu un ātru atļauju piešķiršanas procesu. Minētā procesa ilgums nepārsniedz vienu gadu. Pienācīgi pamatotos ārkārtas apstākļos, piemēram, sevišķi svarīgu drošības apsvērumu dēļ, ja jaudas atjaunināšanas projekts būtiski ietekmē tīklu vai iekārtas sākotnējo jaudu, izmēru vai veiktspēju, minēto viena gada termiņu var pagarināt vēl par ilgākais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un tā anotācijas šobrīd nav viennozīmīgi skaidrs, kā tiek pārņemta minētā direktīvas norma. Vēršam uzmanību arī uz to, ka projekta anotācijas 5.sadaļā "Tiesību akta projekta atbilstība Latvijas Republikas starptautiskajām saistībām" norādīts, ka likumprojekts šo jomu neskar.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skaidrojumu par to, kā projektā tiek pārņemta minētā direktīvas norma, tai skaitā norādot attiecīgu informāciju projekta anotācijas 5.sadaļā, vai, nepieciešamības gadījumā, svītrot atsauci uz direktīvas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23-TA-1661</w:t>
    </w:r>
    <w:r>
      <w:br/>
    </w:r>
    <w:r w:rsidR="00000000" w:rsidRPr="00000000" w:rsidDel="00000000">
      <w:rPr>
        <w:rtl w:val="0"/>
      </w:rPr>
      <w:t xml:space="preserve">Izdrukāts 03.07.2023.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23-TA-1661</w:t>
    </w:r>
    <w:r>
      <w:br/>
    </w:r>
    <w:r w:rsidR="00000000" w:rsidRPr="00000000" w:rsidDel="00000000">
      <w:rPr>
        <w:rtl w:val="0"/>
      </w:rPr>
      <w:t xml:space="preserve">Izdrukāts 03.07.2023.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Atzinumi_23-TA-1661.docx</dc:title>
</cp:coreProperties>
</file>

<file path=docProps/custom.xml><?xml version="1.0" encoding="utf-8"?>
<Properties xmlns="http://schemas.openxmlformats.org/officeDocument/2006/custom-properties" xmlns:vt="http://schemas.openxmlformats.org/officeDocument/2006/docPropsVTypes"/>
</file>