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pateicas par iepriekš vērā ņemtajiem  KP priekšlikumiem par informatīvo ziņojumu. Vienlaikus, KP ieskatā, arī attiecībā uz pašreizējo redakciju ir iespējama diskusija par to, cik lielā mērā likumprojektā “Grozījumi Valsts pārvaldes iekārtas likumā” (Nr. 1106/Lp14) paredzētā 88. panta redakcija paredz izņēmumus biržā kotētajiem valsts un pašvaldību komerciālajām kapitālsabiedrībām. Attiecīgi ir iespējams informatīvajā ziņojumā iekļaut norādi uz nepieciešamību vērtēt detalizētāka regulējuma biržā kotētajiem valsts un pašvaldību komerciālajām kapitālsabiedrībām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Šīna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25.11.2025.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25.11.2025.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Atzinumi_25-TA-1521.docx</dc:title>
</cp:coreProperties>
</file>

<file path=docProps/custom.xml><?xml version="1.0" encoding="utf-8"?>
<Properties xmlns="http://schemas.openxmlformats.org/officeDocument/2006/custom-properties" xmlns:vt="http://schemas.openxmlformats.org/officeDocument/2006/docPropsVTypes"/>
</file>