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Patērētāju tiesību aizsardzības centrs MI akta pamattiesību aizsardzības iestādes funkcijas un uzdevumus 2025. un 2026. gadā īsteno esošo valsts budžeta līdzekļu ietvaros. Jautājums par papildu valsts budžeta finansējuma piešķiršanu no 2027. gada un turpmākajiem gadiem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 Ja turpmāko gadu likumprojekta par valsts budžetu kārtējam gadam un vidēja termiņa budžeta ietvaru sagatavošanas un izskatīšanas procesā papildu valsts budžeta finansējums paredzēto pasākumu īstenošanai netiek piešķirts vai tiek piešķirts daļēji, Patērētāju tiesību aizsardzības centrs nodrošinās, ka tiek īstenoti 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punktā noteikts, ka gadījumā, ja netiks piešķirts pietiekams finansējums tiesībsarga noteikto uzdevumu veikšanai kārtējā gadā, Tiesībsarga birojam jānodrošina: ”</w:t>
            </w:r>
            <w:r w:rsidR="00000000" w:rsidRPr="00000000" w:rsidDel="00000000">
              <w:rPr>
                <w:b w:val="1"/>
                <w:i w:val="1"/>
                <w:rtl w:val="0"/>
              </w:rPr>
              <w:t xml:space="preserve">tie pasākumi,</w:t>
            </w:r>
            <w:r w:rsidR="00000000" w:rsidRPr="00000000" w:rsidDel="00000000">
              <w:rPr>
                <w:i w:val="1"/>
                <w:rtl w:val="0"/>
              </w:rPr>
              <w:t xml:space="preserve"> kurus var nodrošināt piešķirto valsts budžeta līdzekļu ietvaros.</w:t>
            </w:r>
            <w:r w:rsidR="00000000" w:rsidRPr="00000000" w:rsidDel="00000000">
              <w:rPr>
                <w:rtl w:val="0"/>
              </w:rPr>
              <w:t xml:space="preserve">” Lūdzam attiecīgi noteikumu projekta anotācijā skaidrot, kā un cik lielā mērā tiks nodrošināta attiecīgo Eiropas Parlamenta un Padomes 2024.gada 13. jūnija regulas Nr.2024/1689, ar ko nosaka saskaņotas normas mākslīgā intelekta jomā (un groza Regulas (EK) Nr.300/2008, (ES) Nr.167/2013, (ES) Nr.168/2013, (ES) 2018/858, (ES) 2018/1139 un (ES) 2019/2144 un Direktīvas 2014/90/ES, (ES) 2016/797 un (ES) 2020/1828 (turpmāk - MI akts) prasību izpilde gadījumā, ja netiks piešķirts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11. Eiropas Parlamenta un Padomes 2024. gada 13. jūnija Regulu Nr. 2024/1689, ar ko nosaka saskaņotas normas mākslīgā intelekta jomā un groza Regulas (EK) Nr. 300/2008, (ES) Nr. 167/2013, (ES) Nr. 168/2013, (ES) 2018/858, (ES) 2018/1139 un (ES) 2019/2144 un Direktīvas 2014/90/ES, (ES) 2016/797 un (ES) 2020/1828 (Mākslīgā intelekta akts) (turpmāk – Mākslīgā intelekta akts), uzraugot mākslīgā intelekta sistēmas precēs atbilstoši centra kompetencei Mākslīgā intelekta akta I pielikumā norādīto Savienības saskaņošanas tiesību aktu regulētajās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 punktā (noteikumu 4.3.</w:t>
            </w:r>
            <w:r w:rsidR="00000000" w:rsidRPr="00000000" w:rsidDel="00000000">
              <w:rPr>
                <w:vertAlign w:val="superscript"/>
                <w:rtl w:val="0"/>
              </w:rPr>
              <w:t xml:space="preserve">1</w:t>
            </w:r>
            <w:r w:rsidR="00000000" w:rsidRPr="00000000" w:rsidDel="00000000">
              <w:rPr>
                <w:rtl w:val="0"/>
              </w:rPr>
              <w:t xml:space="preserve">11. apakšpunktā) ietverta atsauce uz MI akta I pielikuma A un B iedaļām. Norādītās MI akta iedaļas satur atsauces uz direktīvām. Vēršam uzmanību, ka saskaņā ar Līguma par Eiropas Savienības darbību 288. pantu direktīvas atšķirībā no regulām nav tieši piemērojams Eiropas Savienības tiesību akts, līdz ar to Latvijas tiesību aktu tekstos (normās) neietver atsauces uz direktīvām, bet tā vietā norāda atsauces uz Latvijas ārējiem normatīvajiem aktiem, kur šo direktīvu normas pārņemtas. Aicinām noteikumu projektā atsaukties uz konkrētajām nacionālo normatīvo aktu normām, ar kurām minēto direktīvu prasības ir pārņemtas, noteikumu projekta anotācijā sniedzot atbilstošu skaidrojumu, tai skaitā norādot, ka konkrētajā gadījumā atsauces uz direktīvām tiek izdarītas, lai nodrošinātu privātpersonas intereses. Attiecīgi lūdzam precizēt noteikumu projektu un aicinām papildināt noteikumu projekta anotācijas 5.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07.05.2025.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07.05.2025.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Atzinumi_25-TA-203.docx</dc:title>
</cp:coreProperties>
</file>

<file path=docProps/custom.xml><?xml version="1.0" encoding="utf-8"?>
<Properties xmlns="http://schemas.openxmlformats.org/officeDocument/2006/custom-properties" xmlns:vt="http://schemas.openxmlformats.org/officeDocument/2006/docPropsVTypes"/>
</file>