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4E9B04" w14:textId="77777777" w:rsidR="00AB4624" w:rsidRDefault="00AB4624" w:rsidP="00AB4624">
      <w:proofErr w:type="spellStart"/>
      <w:r>
        <w:t>From</w:t>
      </w:r>
      <w:proofErr w:type="spellEnd"/>
      <w:r>
        <w:t xml:space="preserve">: Iveta Brīnuma &lt;Iveta.Brinuma@TM.GOV.LV&gt; </w:t>
      </w:r>
    </w:p>
    <w:p w14:paraId="529DA585" w14:textId="77777777" w:rsidR="00AB4624" w:rsidRDefault="00AB4624" w:rsidP="00AB4624">
      <w:proofErr w:type="spellStart"/>
      <w:r>
        <w:t>Sent</w:t>
      </w:r>
      <w:proofErr w:type="spellEnd"/>
      <w:r>
        <w:t xml:space="preserve">: </w:t>
      </w:r>
      <w:proofErr w:type="spellStart"/>
      <w:r>
        <w:t>Monday</w:t>
      </w:r>
      <w:proofErr w:type="spellEnd"/>
      <w:r>
        <w:t xml:space="preserve">, </w:t>
      </w:r>
      <w:proofErr w:type="spellStart"/>
      <w:r>
        <w:t>October</w:t>
      </w:r>
      <w:proofErr w:type="spellEnd"/>
      <w:r>
        <w:t xml:space="preserve"> 19, 2020 11:15 AM</w:t>
      </w:r>
    </w:p>
    <w:p w14:paraId="04E3BA95" w14:textId="77777777" w:rsidR="00AB4624" w:rsidRDefault="00AB4624" w:rsidP="00AB4624">
      <w:r>
        <w:t>To: VARAM &lt;pasts@varam.gov.lv&gt;</w:t>
      </w:r>
    </w:p>
    <w:p w14:paraId="2F79A2BF" w14:textId="77777777" w:rsidR="00AB4624" w:rsidRDefault="00AB4624" w:rsidP="00AB4624">
      <w:proofErr w:type="spellStart"/>
      <w:r>
        <w:t>Cc</w:t>
      </w:r>
      <w:proofErr w:type="spellEnd"/>
      <w:r>
        <w:t>: Kristīne Kedo &lt;Kristine.Kedo@varam.gov.lv&gt;; Edvīns Kāpostiņš &lt;Edvins.Kapostins@varam.gov.lv&gt;</w:t>
      </w:r>
    </w:p>
    <w:p w14:paraId="68655133" w14:textId="77777777" w:rsidR="00AB4624" w:rsidRDefault="00AB4624" w:rsidP="00AB4624">
      <w:proofErr w:type="spellStart"/>
      <w:r>
        <w:t>Subject</w:t>
      </w:r>
      <w:proofErr w:type="spellEnd"/>
      <w:r>
        <w:t>: VSS-473 “Grozījumi Jūras vides aizsardzības un pārvaldības likumā” likumprojekta elektronisko saskaņošanu</w:t>
      </w:r>
    </w:p>
    <w:p w14:paraId="11E90D3D" w14:textId="77777777" w:rsidR="00AB4624" w:rsidRDefault="00AB4624" w:rsidP="00AB4624"/>
    <w:p w14:paraId="34AD8C5E" w14:textId="77777777" w:rsidR="00AB4624" w:rsidRDefault="00AB4624" w:rsidP="00AB4624">
      <w:r>
        <w:t xml:space="preserve">Labdien. </w:t>
      </w:r>
    </w:p>
    <w:p w14:paraId="00EEB643" w14:textId="77777777" w:rsidR="00AB4624" w:rsidRDefault="00AB4624" w:rsidP="00DD345F">
      <w:pPr>
        <w:jc w:val="both"/>
      </w:pPr>
      <w:r>
        <w:t xml:space="preserve">Tieslietu ministrija ir izvērtējusi Vides aizsardzības un reģionālās attīstības ministrijas precizēto likumprojektu "Grozījumi Jūras vides aizsardzības un pārvaldības likumā" (VSS- 473) (turpmāk – projekts) un atbalsta tā tālāku virzību, izsakot šādus iebildumus: </w:t>
      </w:r>
    </w:p>
    <w:p w14:paraId="60D2E016" w14:textId="77777777" w:rsidR="00AB4624" w:rsidRDefault="00AB4624" w:rsidP="00DD345F">
      <w:pPr>
        <w:jc w:val="both"/>
      </w:pPr>
      <w:r>
        <w:t xml:space="preserve">1. Attiecībā uz izziņas 4. lpp. norādīto Tieslietu ministrijas 3. iebildumu (par likumprojekta 3. panta otro daļu), atkārtoti informējam, ka iebildums nav ņemts vērā, jo no projekta 3. panta otrās daļas redakcijas (Jūras vides aizsardzības un pārvaldības likuma 19. panta 2 </w:t>
      </w:r>
      <w:proofErr w:type="spellStart"/>
      <w:r>
        <w:t>prim</w:t>
      </w:r>
      <w:proofErr w:type="spellEnd"/>
      <w:r>
        <w:t xml:space="preserve"> daļas 1. punkts) joprojām nav saprotams, kam ūdeņu tiesiskais valdītājs izsniegs attiecīgo atļauju, jo atļauju var izsniegt tikai tiesību subjektiem (fiziskām vai juridiskām personām) noteiktu darbību veikšanai, nevis būvēm (tūrisma un rekreācijas inženierbūvēm), kā norādīts likumprojekta 3. panta otrajā daļā. </w:t>
      </w:r>
    </w:p>
    <w:p w14:paraId="14EB8B3B" w14:textId="77777777" w:rsidR="00AB4624" w:rsidRDefault="00AB4624" w:rsidP="00DD345F">
      <w:pPr>
        <w:jc w:val="both"/>
      </w:pPr>
      <w:r>
        <w:t xml:space="preserve">2. Saskaņā ar Ministru kabineta 2009. gada 3. februāra noteikumu Nr.108 “Normatīvo aktu projektu sagatavošanas noteikumi” 2.2. apakšpunktu normatīvā akta projekta tekstu raksta, ievērojot valsts valodas literārās un gramatiskās normas, juridisko terminoloģiju un pareizrakstības prasības. Ņemot vērā minēto, nepieciešams precizēt likumprojekta 3. panta otrajā daļā piedāvāto Jūras vides aizsardzības un pārvaldības likuma 19. panta 2 </w:t>
      </w:r>
      <w:proofErr w:type="spellStart"/>
      <w:r>
        <w:t>prim</w:t>
      </w:r>
      <w:proofErr w:type="spellEnd"/>
      <w:r>
        <w:t xml:space="preserve"> daļas 2. punktu, jo nav saprotams tajā ietvertās vārdkopas: “piemēro būvniecības normatīvos aktus kā pašvaldības administratīvajā teritorijā sauszemē inženierbūvju jūras piekrastes ūdeņos, kas ir saistītas ar sauszemi un veido turpinājumu sauszemei, būvniecībā” saturs. </w:t>
      </w:r>
    </w:p>
    <w:p w14:paraId="2B491034" w14:textId="77777777" w:rsidR="00AB4624" w:rsidRDefault="00AB4624" w:rsidP="00DD345F">
      <w:pPr>
        <w:jc w:val="both"/>
      </w:pPr>
      <w:r>
        <w:t xml:space="preserve">3. Iebilstam pret projekta 2. pantu. Šobrīd tas paredz, ka Ministru kabinets izdod noteikumus par kārtību, kādā nosaka, aktualizē un apstiprina jūras piekrastes joslas robežu, jūras augstākās bangas robežu un </w:t>
      </w:r>
      <w:proofErr w:type="spellStart"/>
      <w:r>
        <w:t>buferjoslu</w:t>
      </w:r>
      <w:proofErr w:type="spellEnd"/>
      <w:r>
        <w:t xml:space="preserve">, un nodod datus reģistrēšanai valsts informācijas sistēmās, kā arī to aktualizācijas biežumu. Likumā šobrīd </w:t>
      </w:r>
      <w:proofErr w:type="spellStart"/>
      <w:r>
        <w:t>buferjoslu</w:t>
      </w:r>
      <w:proofErr w:type="spellEnd"/>
      <w:r>
        <w:t xml:space="preserve"> nav paredzēts definēt. Likumā arī nav paredzēts iekļaut regulējumu, kā datus par </w:t>
      </w:r>
      <w:proofErr w:type="spellStart"/>
      <w:r>
        <w:t>buferjoslu</w:t>
      </w:r>
      <w:proofErr w:type="spellEnd"/>
      <w:r>
        <w:t xml:space="preserve"> tālāk izmantos, attiecīgi varētu pieņemt, ka tās noteikšanai nebūs tiesiskas sekas. Tāpat nav skaidrots, kādās valsts informācijas sistēmās datus par </w:t>
      </w:r>
      <w:proofErr w:type="spellStart"/>
      <w:r>
        <w:t>buferjoslu</w:t>
      </w:r>
      <w:proofErr w:type="spellEnd"/>
      <w:r>
        <w:t xml:space="preserve"> reģistrēs. Lai gan ir no</w:t>
      </w:r>
      <w:bookmarkStart w:id="0" w:name="_GoBack"/>
      <w:bookmarkEnd w:id="0"/>
      <w:r>
        <w:t xml:space="preserve">vērstas Tieslietu ministrijas iebildumos norādītās problēmas saistībā ar </w:t>
      </w:r>
      <w:proofErr w:type="spellStart"/>
      <w:r>
        <w:t>buferjoslas</w:t>
      </w:r>
      <w:proofErr w:type="spellEnd"/>
      <w:r>
        <w:t xml:space="preserve"> piemērošanu, attiecīgo regulējumu no projekta izslēdzot un skaidrojumu no anotācijas svītrojot, Valsts zemes dienestam ir būtiski iegūt skaidrību šajā jautājumā, lai būtu pārliecība, ka </w:t>
      </w:r>
      <w:proofErr w:type="spellStart"/>
      <w:r>
        <w:t>buferjosla</w:t>
      </w:r>
      <w:proofErr w:type="spellEnd"/>
      <w:r>
        <w:t xml:space="preserve"> neietekmēs Valsts zemes dienesta kompetencē esošos jautājumus, piemēram, zemes kadastrālo uzmērīšanu, datu reģistrāciju Nekustamā īpašuma valsts kadastra informācijas sistēmā un Apgrūtināto teritoriju informācijas sistēmā. </w:t>
      </w:r>
    </w:p>
    <w:p w14:paraId="2CFF7674" w14:textId="77777777" w:rsidR="00AB4624" w:rsidRDefault="00AB4624" w:rsidP="00DD345F">
      <w:pPr>
        <w:jc w:val="both"/>
      </w:pPr>
      <w:r>
        <w:t xml:space="preserve">Saskaņā ar varas dalīšanas principu likumdevējam ir jānoregulē būtiskākie likuma jautājumi, MK atstājot pilnvaras tikai izdot skaidra un noteikta satura pakārtotos (deleģētos) normatīvos </w:t>
      </w:r>
      <w:r>
        <w:lastRenderedPageBreak/>
        <w:t>aktus. Šajā gadījumā nav skaidrs, kas ir domāts ar terminu “</w:t>
      </w:r>
      <w:proofErr w:type="spellStart"/>
      <w:r>
        <w:t>buferjosla</w:t>
      </w:r>
      <w:proofErr w:type="spellEnd"/>
      <w:r>
        <w:t xml:space="preserve">”, jo tās skaidrojums no likuma ir svītrots, atstājot definējumu tikai anotācijā (bet anotācijai nav saistoša spēka), savukārt MK uzdots noteikt </w:t>
      </w:r>
      <w:proofErr w:type="spellStart"/>
      <w:r>
        <w:t>buferjoslu</w:t>
      </w:r>
      <w:proofErr w:type="spellEnd"/>
      <w:r>
        <w:t xml:space="preserve">, tātad pilnvarojums MK nav skaidrs, ne satura, ne tiesisko seku ziņā. Tas ir būtisks projekta trūkums, un tas projektā novēršams. </w:t>
      </w:r>
    </w:p>
    <w:p w14:paraId="5F7018A1" w14:textId="77777777" w:rsidR="00AB4624" w:rsidRDefault="00AB4624" w:rsidP="00DD345F">
      <w:pPr>
        <w:jc w:val="both"/>
      </w:pPr>
      <w:r>
        <w:t xml:space="preserve">4. Uzturam iebildumu (TM sākotnējā atzinuma 11.p.), ka ņemot vērā piekrastes zonas ekskluzīvo raksturu, ir jāparedz konkrēts regulējums par to, kā šajā teritorijā tiks noteikts valstij izdevīgākais apbūvētājs. Anotācijā tiek papildus skaidrots, ka pašvaldības var rīkot konkursu, bet kā noprotams, tas nav imperatīvs pienākums. Anotācijā norādīts, ka “Šāda kārtība jau tiek piemērota ostu darbībai nepieciešamo būvju būvniecībai.”, taču ostu situācija saturiski un tiesiski ir atšķirīga. Izziņā šis iebildums vispār nav skaidrots no VARAM puses. </w:t>
      </w:r>
    </w:p>
    <w:p w14:paraId="6A6DC62E" w14:textId="77777777" w:rsidR="00AB4624" w:rsidRDefault="00AB4624" w:rsidP="00DD345F">
      <w:pPr>
        <w:jc w:val="both"/>
      </w:pPr>
      <w:r>
        <w:t xml:space="preserve">Likuma 19.p.trešā daļa pašreiz esošajā redakcijā paredz, “Pirms Ministru kabinets izsniedz atļauju vai licenci jūras izmantošanai, tas ar ikreizēju rīkojumu nosaka konkrētu jūras teritoriju (turpmāk — atļaujas vai licences laukums jūrā) šā panta otrās daļas 4.punktā noteikto darbību veikšanai, ņemot vērā arī šā likuma 14.panta nosacījumus. Tiesības izmantot atļaujas vai licences laukumu jūrā iegūst persona, kura uzvarējusi konkursā par tiesībām izmantot atļaujas vai licences laukumu jūrā.” </w:t>
      </w:r>
    </w:p>
    <w:p w14:paraId="1058CFEB" w14:textId="77777777" w:rsidR="00AB4624" w:rsidRDefault="00AB4624" w:rsidP="00DD345F">
      <w:pPr>
        <w:jc w:val="both"/>
      </w:pPr>
      <w:r>
        <w:t xml:space="preserve">Ja regulējums tiek grozīts, paredzot, ka tūrisma un rekreācijas būves turpmāk ļaus būvēt pašvaldība, tad šis nosacījums par obligātu konkursu būtu jāattiecina arī uz pašvaldību, bet tāds regulējums likumprojektā nav iekļauts. </w:t>
      </w:r>
    </w:p>
    <w:p w14:paraId="3A2D31DA" w14:textId="77777777" w:rsidR="00AB4624" w:rsidRDefault="00AB4624" w:rsidP="00DD345F">
      <w:pPr>
        <w:jc w:val="both"/>
      </w:pPr>
      <w:r>
        <w:t xml:space="preserve">Vienlaikus izsakām šādus priekšlikumus par tehniskām neprecizitātēm. </w:t>
      </w:r>
    </w:p>
    <w:p w14:paraId="72DE5CF9" w14:textId="77777777" w:rsidR="00AB4624" w:rsidRDefault="00AB4624" w:rsidP="00DD345F">
      <w:pPr>
        <w:jc w:val="both"/>
      </w:pPr>
      <w:r>
        <w:t>1.</w:t>
      </w:r>
      <w:r>
        <w:tab/>
        <w:t xml:space="preserve">Izziņas 3. punktā (3.lpp.) punkta 4.ailē aizstājama atsauce uz likumprojekta anotācijas II sadaļu ar atsauci uz anotācijas IV sadaļu. </w:t>
      </w:r>
    </w:p>
    <w:p w14:paraId="57A1A20F" w14:textId="77777777" w:rsidR="00AB4624" w:rsidRDefault="00AB4624" w:rsidP="00DD345F">
      <w:pPr>
        <w:jc w:val="both"/>
      </w:pPr>
      <w:r>
        <w:t>2.</w:t>
      </w:r>
      <w:r>
        <w:tab/>
        <w:t xml:space="preserve">Izziņas 4. punkta 4.ailē norādīts, ka precizēts likumprojekta anotācijas kopsavilkums. Vēršu uzmanību, ka precizētajā likumprojekta anotācijas kopsavilkumā atbilstoši Ministru kabineta 2009. gada 15. decembra instrukcijas Nr.19 “Tiesību akta projekta sākotnējās ietekmes izvērtēšanas </w:t>
      </w:r>
    </w:p>
    <w:p w14:paraId="6ED2FEF9" w14:textId="77777777" w:rsidR="00AB4624" w:rsidRDefault="00AB4624" w:rsidP="00DD345F">
      <w:pPr>
        <w:jc w:val="both"/>
      </w:pPr>
      <w:r>
        <w:t xml:space="preserve">kārtība” 51. punktam nav norādīts likumprojekta spēkā stāšanās laiks. Līdz ar to atbilstoši precizējams anotācijas kopsavilkums. </w:t>
      </w:r>
    </w:p>
    <w:p w14:paraId="2F8C9B62" w14:textId="77777777" w:rsidR="00AB4624" w:rsidRDefault="00AB4624" w:rsidP="00AB4624">
      <w:proofErr w:type="spellStart"/>
      <w:r>
        <w:t>I.Brīnuma</w:t>
      </w:r>
      <w:proofErr w:type="spellEnd"/>
      <w:r>
        <w:t xml:space="preserve"> </w:t>
      </w:r>
    </w:p>
    <w:p w14:paraId="4031BB12" w14:textId="77777777" w:rsidR="00AB4624" w:rsidRDefault="00AB4624" w:rsidP="00AB4624">
      <w:proofErr w:type="spellStart"/>
      <w:r>
        <w:t>S.Rāgs</w:t>
      </w:r>
      <w:proofErr w:type="spellEnd"/>
      <w:r>
        <w:t xml:space="preserve"> </w:t>
      </w:r>
    </w:p>
    <w:p w14:paraId="4EE26B6B" w14:textId="77777777" w:rsidR="009650AC" w:rsidRDefault="00AB4624" w:rsidP="00AB4624">
      <w:r>
        <w:t>VZD Evita Lujāne</w:t>
      </w:r>
    </w:p>
    <w:sectPr w:rsidR="009650A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624"/>
    <w:rsid w:val="009650AC"/>
    <w:rsid w:val="00AB4624"/>
    <w:rsid w:val="00DD34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BDE4B"/>
  <w15:chartTrackingRefBased/>
  <w15:docId w15:val="{CB369C14-44D4-4DCA-9BF9-1C38F9F7B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A5E8D-6532-42A4-9F73-7D75A7DC2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E05B7B-3C58-4D8B-A212-815FC9BE63C6}">
  <ds:schemaRefs>
    <ds:schemaRef ds:uri="http://schemas.microsoft.com/office/2006/metadata/properties"/>
    <ds:schemaRef ds:uri="http://purl.org/dc/elements/1.1/"/>
    <ds:schemaRef ds:uri="http://schemas.openxmlformats.org/package/2006/metadata/core-properties"/>
    <ds:schemaRef ds:uri="ace8e44c-fa88-44c0-8590-dfda63664a63"/>
    <ds:schemaRef ds:uri="http://schemas.microsoft.com/office/2006/documentManagement/types"/>
    <ds:schemaRef ds:uri="http://purl.org/dc/terms/"/>
    <ds:schemaRef ds:uri="http://schemas.microsoft.com/office/infopath/2007/PartnerControls"/>
    <ds:schemaRef ds:uri="122e0e09-afb4-4bf9-abab-ecc4519bc6eb"/>
    <ds:schemaRef ds:uri="http://www.w3.org/XML/1998/namespace"/>
    <ds:schemaRef ds:uri="http://purl.org/dc/dcmitype/"/>
  </ds:schemaRefs>
</ds:datastoreItem>
</file>

<file path=customXml/itemProps3.xml><?xml version="1.0" encoding="utf-8"?>
<ds:datastoreItem xmlns:ds="http://schemas.openxmlformats.org/officeDocument/2006/customXml" ds:itemID="{D858703E-B1DF-4902-AE66-4F7CAC1D4F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3507</Words>
  <Characters>1999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Madara Gaile</cp:lastModifiedBy>
  <cp:revision>2</cp:revision>
  <dcterms:created xsi:type="dcterms:W3CDTF">2021-01-04T09:33:00Z</dcterms:created>
  <dcterms:modified xsi:type="dcterms:W3CDTF">2021-01-08T06:34:00Z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