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vērš uzmanību, ja plāna sadaļas ""1. Rīcības virziens: Invaliditātes noteikšanas sistēmas pilnveidošana" 1.2 un 1.6. noteikto uzdevumu izpilde, kas paredz datu apmaiņu, ietvēr arī personas datu apmaiņu, ir piemērojamas Datu regulas 6.panta 1. un 3.punkta noteikumi attiecībā uz tiesiskā pamata datu apstrādei noteikšanu normatīvo aktu līmenī. Līdz ar to attiecīgajām institūcijām, starp kurām ir paredzēta parsonas datu apmaiņa, normatīvo aktu  līmenī ir jābūt noteiktām funkcijām, kas paredz datu saņemšanu.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aili "rezultatīvais rādītājs" ar vārdiem "ievērojot personas datu aizsardzības prasības".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Macuka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15.03.2024.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15.03.2024.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