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visām definīcijām, kas izriet no Komisijas 2014. gada 17. jūnija Regulas (ES) Nr. 651/2014, ar ko noteiktas atbalsta kategorijas atzīst par saderīgām ar iekšējo tirgu, piemērojot Līguma 107. un 108. pantu, (turpmāk – Komisijas regulas Nr. 651/2014 piemērojamiem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pasākumu ietvaros atmaksāto finansējumu (klientu maksājumus un pamatsummas atmaksas)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lūdzam precizēt noteikumu projekta 8.punktu, lai nodrošinātu atbilstību  Attīstības finanšu institūcijas likuma 12.panta ceturtajā daļā noteiktajam, paredzot atmaksātā publiskā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publiskā finansējuma apmēru nav iespējams noteikt, ierosinām papildināt Ministru kabineta sēdes protokollēmuma projektu, paredzot tajā, ka pēc rādītāju novērtējuma izskatīšanas Ministru kabinetā tiek sagatavoti grozījumi Ministru kabineta noteikumos uzņēmējdarbības zaļināšanai, atjaunīgo energoresursu izmantošanai un energoefektivitātes paaugstināšanai, nosakot atmaksātā finansējuma apjoma robežvērtību, un ekonomikas ministram iesniegt tos noteiktā kārtībā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Nr. 2023/2831 vai kā atbalsts saskaņā ar šādiem Komisijas regulas Nr. 651/2014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ar lūgumu papildināt anotāciju ar skaidrojumu, kā notiks izvēle, kuru no regulām piemērot konkrētā gadījumā un konkrētām izmaksām, lai atbalsta pretendentam būtu skaidra atbalsta piešķiršanas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pasākumos piešķirtā publiskā finansējuma. Valsts aizdevumu piešķir kredītlīnijas veidā uz 20 gadiem, tam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jauns valsts aizdevums un valstij ir jānodrošina finanšu resursu pieejamība šāda valsts aizdevuma piešķiršanai, tad, apstiprinot  jaunu valsts atbalsta programmu, kas pilnvaro arī sabiedrību "Altum" uzņemties jaunas finanšu saistības, indikatīviem aprēķiniem ir jābūt un šajā punktā būtu nosakāms aizdevuma apmērs, norādot, līdz kādam apmērām tiek prognozēts valsts aizdevums. Šis jautājums ir cieši saistīts ar gadskārtējā valsts budžeta likumā noteikto valsts budžeta aizdevumu kopējo palielinājumu un ikgadējā valsts aizdevumu limita plānošanas procesu. Līdz ar to lūdzam atkārtoti izvērtēt un precizēt šī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Bobrovska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Izmaksu attiecināmības termiņš ir sākot ar 2025. gada 1. janvāri, bet nepārsniedz 2029. gada 31. martu, vienlaikus ievērojot šo noteikumu </w:t>
            </w:r>
            <w:r w:rsidR="00000000" w:rsidRPr="00000000" w:rsidDel="00000000">
              <w:rPr>
                <w:rtl w:val="0"/>
              </w:rPr>
              <w:t xml:space="preserve">85.1. </w:t>
            </w:r>
            <w:r w:rsidR="00000000" w:rsidRPr="00000000" w:rsidDel="00000000">
              <w:rPr>
                <w:rtl w:val="0"/>
              </w:rPr>
              <w:t xml:space="preserve">apakšpunktā</w:t>
            </w:r>
            <w:r w:rsidR="00000000" w:rsidRPr="00000000" w:rsidDel="00000000">
              <w:rPr>
                <w:rtl w:val="0"/>
              </w:rPr>
              <w:t xml:space="preserve">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regulu Nr. 651/2014 piemēro līdz 2026. gada 31. decembrim (un papildus 6 mēneši). Lūdzam precizēt noteikumu projekta 16. punktu tā, lai būtu skaidrs, ka netiks pārsniegts lēmumu pieņemšanas termiņš saskaņā ar Komisijas regulu Nr. 651/2014, piemēram, papildinot ar atsauci un noteikumu projekta 93.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nepiešķir , ja atbalsta saņēmējs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kā arī, ņemot vērā, ka Komisijas regulu Nr.651/2014 nepiemēro atbalstam lauksaimniecības produktu pārstrādes un tirdzniecības nozarē atsevišķos gadījumos, lūdzam papildināt noteikumu projekta 18.punktu ar jaunu apakšpunktu, iekļaujot tajā attiecīgo normu ar atsauci uz Komisijas regulas Nr.651/2014 1.panta 3.c)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Komisijas Regulas Nr. 651/2014 14. panta 16. punktā noteiktā atbalstīta pārcelšanai.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23.8.apakšpunktu tā, lai būtu nepārprotami skaidrs, kādām darbībām atbalsts netiek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ņemot vērā, ka piemērojot Komisijas regulas Nr. 651/2014 38.a pantu, komersantam saražotā enerģija ir jāizmanto pašpatēriņam, lai sasniegtu augstāku energoefektivitātes līmeni, lūdzam papildināt noteikumu projekta, piemēram, 26.punktu ar jaunu apakšpunktu ar nosacījumiem pēc analoģijas, kas iekļauti noteikumu projekta 28.punktā.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nomaiņa vai iepirktā elektroenerģijas apjoma no elektrotīkla samazināšanas uz šādu jaunu atjaunīgās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atbalstu, lai veicinātu enerģijas ražošanu no atjaunojamiem energoresursiem, var piešķirt saskaņā ar Komisijas regulas Nr. 651/2014 41. panta nosacījumiem, ja tas nav apvienots ar citiem energoefektivitātes pasākumiem (kombinētie darbi), ievērojot Komisijas regulas Nr. 651/2014 8. pantā noteiktās kumulācijas prasības. Attiecīgi lūdzam pārskatīt un precizēt noteikumu projekta 27.4., 28., 31. un 32.punktu, ņemot vērā, ka nav skaidrs, kuros gadījumos kā tiek noteiktas un nodalītas izmaksas saskaņā ar Komisijas regulas Nr. 651/2014 41. vai 38.pantu.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atjaunīgā ūdeņraža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papildināt noteikumu projekta 31.1. apakšpunktu ar atsauci uz Komisijas regulas Nr. 651/2014 41.panta 3.punktu, lai nodrošinātu, ka atbalsta tiek sniegts atbilstoši Komisijas regulas Nr. 651/2014 41.panta 3.punktā ietvertajiem nosacījumiem attiecībā uz atbalstu atjaunīgā ūdeņraža ražošanas tehnoloģiju iegādei un uzstādīšanai.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biogāzes ražošanas tehnoloģiju iegādes un uzstādīšanas izmaksas, nodrošinot biogāzes iegūšanu no izejvielām, kuras norādītas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ja minēto izejvielu īpatsvars kopējā izejvielu apjomā ir vismaz 60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papildināt noteikumu projekta 31.2. un 31.3.apakšpunktu ar atsauci uz Komisijas regulas Nr. 651/2014 41.panta 2.punktu, lai nodrošinātu, ka atbalsta tiek sniegts atbilstoši Komisijas regulas Nr. 651/2014 41.panta 2.punktā ietvertajiem nosacījumiem attiecībā uz atbalstu biogāzes ražošanas tehnoloģiju iegādes un uzstādīšanas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izņemot cieto biomasu,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papildināt noteikumu projekta 31.4. apakšpunktu ar atsauci uz Komisijas regulas Nr. 651/2014 41.panta 3.punktu, lai nodrošinātu, ka atbalsta tiek sniegts atbilstoši Komisijas regulas Nr. 651/2014 41.panta 4.punktā ietvertajiem nosacījumiem attiecībā uz atbalstu augstas efektivitātes koģenerācijas tehnoloģiju iegādes un uzstādīšanas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Vienam komersantam, atbilstoši šo noteikumu 16. punktam un vienam vienotam uzņēmumam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lūgumu noteikt skaidrus nosacījumus subsīdijas ekvivalenta aprēķinam. Proti, sabiedrības "Altum" garantijai un kapitāla atlaidei subsīdijas ekvivalentu aprēķina, summējot kapitāla atlaides un garantijas subsīdijas ekvivalenta daļas un kapitāla atlaidei subsīdijas ekvivalents ir vienāds ar komersantam piešķirto kapitāla atlaides apmēru. Savukārt, piemēram, garantijai subsīdijas ekvivalentu aprēķina kā starpību starp atbilstošās kvalitātes klases gada drošās zonas prēmijas likmi (pielikums) un piemēro gada prēmijas likmi naudas izteiksmē. Ja garantijas ilgums pārsniedz gadu, starpība starp likmēm tiek diskontēta, izmantojot atsauces likmi, kas ir aprēķināma saskaņā ar Eiropas Komisijas konkrētajam periodam noteikto bāzes likmi (bāzes un risku likmes publicētas Eiropas Komisijas konkurences ģenerāldirektorāta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uz precizēt noteikumu projekta 56., 59. punktu un 82.2.apakšpunktu.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atbalstu sniedz kā </w:t>
            </w:r>
            <w:r w:rsidR="00000000" w:rsidRPr="00000000" w:rsidDel="00000000">
              <w:rPr>
                <w:i w:val="1"/>
                <w:rtl w:val="0"/>
              </w:rPr>
              <w:t xml:space="preserve">de minimis</w:t>
            </w:r>
            <w:r w:rsidR="00000000" w:rsidRPr="00000000" w:rsidDel="00000000">
              <w:rPr>
                <w:rtl w:val="0"/>
              </w:rPr>
              <w:t xml:space="preserve"> atbalstu saskaņā ar Komisijas regulu Nr. 2023/2831, komersants papildus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pieteikumam sabiedrībā "Altum"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Komersants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noteikumu projekta 64.punktā ietverto nosacījumu attiecināt uz visiem gadījumiem, kad tiek piešķirts de minimis atbalsts, proti, ne tikai sabiedrības “Altum” aizdevumu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kapitāla atlaides apmērs un sabiedrības "Altum" aizdevums kopā nepārsniedz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minēto limitu, vienlaikus ievērojot šo noteikumu 59. punktā minētos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80.2.apakšpunktā izmantotās atsauces, ņemot vērā, ka noteikumu projekta 59. punktā tiek runāts par atbalstu garantijas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garantijai subsīdijas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ar lūgumu noteikt skaidrus nosacījumus subsīdijas ekvivalenta aprēķinam atkarībā gan no piemērojamā komercdarbības atbalsta regulējuma, gan uzņēmuma lieluma. Skaidrojam, ka metode, kad garantijai subsīdijas ekvivalentu aprēķina kā starpību starp atbilstošās kvalitātes klases gada drošās zonas prēmijas likmi (pielikums) un piemēro gada prēmijas likmi naudas izteiksmē, ir piemērojama jebkāda lieluma uzņēmumam gan atbalstam, kas sniegts ar Komisijas 2023. gada 13. decembra Regulu (ES) 2023/2831 par Līguma par Eiropas Savienības darbību 107. un 108. panta piemērošanu de minimis atbalstam,, gan atbalstam, kas sniegts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Atbalsts, kas sniegts saskaņā ar Eiropas Komisijas regulu Nr. 651/2014 38.a pantu, nepārsniedz paziņošanas robežvērtības, kas ir atrunātas Eiropas Komisijas regulas Nr. 651/2014 4. panta "sc"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lūgumu iekļaut noteikumu projektā nosacījumu, ka Komisijas regulu Nr.651/2014 4.panta 1. punkta attiecīgajā apakšpunktā minētās paziņošanas robežvērtības nosacījums ir jāizpilda atbalsta pretendentam saistīto uzņēmumu grupas līmenī, katra projekta ietvaros, par kuru noslēgts atbalsta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saņēmējs – finansējuma saņēmējs, kas atbilst šo noteikumu II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"projekta iesniedzējs" minēts tikai noteikumu projekta 1.4. apakšpunktā, savukārt termins "finansējuma saņēmējs"- tikai 2.2. apakšpunktā. Norādām, ka atbilstoši juridiskās tehnikas prasībām tiesību normai ir jābūt skaidrai, lai tās lietotājs un piemērotājs gūtu nepārprotamu priekšstatu par normā ietvertajiem pienākumiem un tiesībām. Ievērojot minēto, lūdzam precizēt noteikumu projekta 2.2. apakšpunktu, lai nodrošinātu viennozīmīgu izpratni par terminu "projekta iesniedzējs" un "finansējuma saņēmējs" lietojumu, izsakot 2.2. apakšpunktu,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saņēmējs – projekta iesniedzējs, kas atbilst šo noteikumu II nodaļas nosacījumiem un kura atbalsta pieteikums ir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darbībām, kuras uzskatāmas par faktiski pabeigtām vai pilnībā īstenotām, pirms ir iesniegts pieteikums atbalsta programmas finansējuma saņemšanai,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23.4. apakšpunktu. Vēršam uzmanību, ka attiecībā uz finanšu instrumentu īstenošanu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punkts nosaka, ka </w:t>
            </w:r>
            <w:r w:rsidR="00000000" w:rsidRPr="00000000" w:rsidDel="00000000">
              <w:rPr>
                <w:i w:val="1"/>
                <w:rtl w:val="0"/>
              </w:rPr>
              <w:t xml:space="preserve">finanšu instrumenti sniedz atbalstu galasaņēmējiem tikai par tādām investīcijām gan materiālos, gan nemateriālos aktīvos, kā arī apgrozāmo kapitālu, kuras, kā sagaidāms, būs finansiāli dzīvotspējīgas, un kurām nav atrasts pietiekams finansējums no tirgus avotiem. Šāds atbalsts atbilst piemērojamajiem Savienības valsts atbalsta noteikumiem. Šādu atbalstu sniedz tikai par tiem investīciju elementiem, </w:t>
            </w:r>
            <w:r w:rsidR="00000000" w:rsidRPr="00000000" w:rsidDel="00000000">
              <w:rPr>
                <w:i w:val="1"/>
                <w:u w:val="single"/>
                <w:rtl w:val="0"/>
              </w:rPr>
              <w:t xml:space="preserve">kas investīciju lēmuma pieņemšanas dienā nav fiziski pabeigti vai pilnībā īstenoti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minētajā regulas prasībā norādītais brīdis, uz kuru investīciju elementi nevar būt fiziski pabeigti vai pilnībā īstenoti, ir vēlāks nekā minētās regulas 63. panta 6. punktā noteiktais brīdis - pieteikuma iesniegšana atbalsta programmas finansējuma saņemšanai. Tādējādi, ja atbalsts tiktu sniegts investīciju elementiem, kas investīciju lēmuma pieņemšanas dienā ir fiziski pabeigti vai pilnībā īstenoti, tas varētu radīt risku minētās regulas prasības neizpildei.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viennozīmīgu normas izpratni, lūdzam aizstāt noteikumu projekta 23.4. apakšpunktā vārdus "pieteikums atbalsta programmas finansējuma saņemšanai" ar vārdiem "atbalsta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Īstenojot atbalsta projektu, atbalsta saņēmējs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salāgot noteikumu projektā lietotos terminus "projekts" un "atbalsta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atbalsta pieteikums atbilst Komisijas regulas Nr. 651/2014 6. panta 2. punktā ietvertajām prasībām par pieteikumā iekļaujamo informāciju un ir iesniegts pirms darbu sākšanas projektā, saskaņā ar Komisijas regulas Nr. 651/2014 2. panta 23.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nosakot, ka ja uzsākti darbi pie projekta pirms atbalsta pieteikumu iesniegšanas, viss projekts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2025.gadu, attiecīgi precizējot sadaļas tabulā atspoguļoto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16.01.2025.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16.01.2025.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