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25-TA-61: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23. jūlija noteikumos Nr. 506 "Latvijas Atveseļošanas un noturības mehānisma 2.3. reformu un investīciju virziena "Digitālā transformācija" 2.3.1.r. reformas "Ilgtspējīgas un sociāli atbildīgas atbalsta sistēmas pieaugušo izglītības atbalstam" 2.3.1.4.i. investīcijas "Individuālo mācību kontu pieejas attīstība" īstenošanas noteikumi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Investīcijas 2.3.1.3.i. mērķis ir līdz 2026. gada 31. augustam nodrošināt pašvadītas IKT speciālistu mācības, kas tiek īstenotas ārpus formālās izglītības sistēmas, tostarp nodrošinot nepieciešamo mācīšanās vidi, mācību saturu un atbalstu personām, kuras tiks iesaistītas pašvadītās IKT speciālistu mācībās, lai palielinātu IKT speciālistu, tostarp sieviešu, skaitu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Eiropas Komisijas un Latvijas Republikas Atveseļošanas un noturības mehānisma finansēšanas nolīgumu Finanšu ministrijai kā Atveseļošanas un noturības mehānisma plāna koordinatoram pēdējo maksājuma pieprasījumu Eiropas Komisijai jāiesniedz līdz 2026.gada 30.septembrim, t.sk. saskaņā ar Ministru kabineta 07.09.2021. noteikumu Nr.621 “Eiropas Savienības Atveseļošanas un noturības mehānisma plāna īstenošanas un uzraudzības kārtība” (turpmāk – MK noteikumi Nr.621) 20.punktu iesniedzot dokumentāciju, kas pamato atskaites punktu un mērķu sasniegšanu, kopsavilkumu par veiktajām pārbaudēm un pārvaldības deklarāciju.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Eiropas Komisijai iesniedzamie dokumenti balstās arī uz Centrālās finanšu un līgumu aģentūras (turpmāk – CFLA) veiktajām pārbaudēm, informāciju par atskaites punktu un mērķu izpildes progresu un  sniegto apliecinājumu pārvaldības deklarācijai, ka veiktajās pārbaudēs nav konstatēti dubultā finansējuma, krāpšanas, korupcijas un interešu konflikta gadījumi, vēršam uzmanību, ka  CFLA kā līgumslēdzējam pēc investīcijas projekta Nr.2.3.1.4.i.0/1/23/I/CFLA/001 beigu termiņa līdz 2026.gada 31.augustam jānodrošina noslēguma progresa pārskata pārbaude, līdz ar to lūdzam noteikumu projekta  3.</w:t>
            </w:r>
            <w:r w:rsidR="00000000" w:rsidRPr="00000000" w:rsidDel="00000000">
              <w:rPr>
                <w:vertAlign w:val="superscript"/>
                <w:rtl w:val="0"/>
              </w:rPr>
              <w:t xml:space="preserve">1</w:t>
            </w:r>
            <w:r w:rsidR="00000000" w:rsidRPr="00000000" w:rsidDel="00000000">
              <w:rPr>
                <w:rtl w:val="0"/>
              </w:rPr>
              <w:t xml:space="preserve">punktā, kā arī 7.</w:t>
            </w:r>
            <w:r w:rsidR="00000000" w:rsidRPr="00000000" w:rsidDel="00000000">
              <w:rPr>
                <w:vertAlign w:val="superscript"/>
                <w:rtl w:val="0"/>
              </w:rPr>
              <w:t xml:space="preserve">1</w:t>
            </w:r>
            <w:r w:rsidR="00000000" w:rsidRPr="00000000" w:rsidDel="00000000">
              <w:rPr>
                <w:rtl w:val="0"/>
              </w:rPr>
              <w:t xml:space="preserve">, 8.</w:t>
            </w:r>
            <w:r w:rsidR="00000000" w:rsidRPr="00000000" w:rsidDel="00000000">
              <w:rPr>
                <w:vertAlign w:val="superscript"/>
                <w:rtl w:val="0"/>
              </w:rPr>
              <w:t xml:space="preserve">1</w:t>
            </w:r>
            <w:r w:rsidR="00000000" w:rsidRPr="00000000" w:rsidDel="00000000">
              <w:rPr>
                <w:rtl w:val="0"/>
              </w:rPr>
              <w:t xml:space="preserve">, 10.2. punktā noteikt 2.3.1.3.i investīcijas īstenošanas termiņu ne ilgāku par </w:t>
            </w:r>
            <w:r w:rsidR="00000000" w:rsidRPr="00000000" w:rsidDel="00000000">
              <w:rPr>
                <w:u w:val="single"/>
                <w:rtl w:val="0"/>
              </w:rPr>
              <w:t xml:space="preserve">2026.gada 30.jūniju</w:t>
            </w:r>
            <w:r w:rsidR="00000000" w:rsidRPr="00000000" w:rsidDel="00000000">
              <w:rPr>
                <w:rtl w:val="0"/>
              </w:rPr>
              <w:t xml:space="preserve">. Informējam, ka arī atbilstoši Finanšu ministrijas vadlīniju Nr.1 “Vadlīnijas informatīvā ziņojuma vai Ministru kabineta noteikumu izstrādei par Eiropas Savienības Atveseļošanas un noturības mehānisma plāna reformas vai investīcijas ieviešanu” 60.punktam MK noteikumos un informatīvajos ziņojumos nosakāms, ka </w:t>
            </w:r>
            <w:r w:rsidR="00000000" w:rsidRPr="00000000" w:rsidDel="00000000">
              <w:rPr>
                <w:u w:val="single"/>
                <w:rtl w:val="0"/>
              </w:rPr>
              <w:t xml:space="preserve">AF investīciju projekti ir jāīsteno un rādītāji ir jāsasniedz, pievienojot to sasniegšanu pamatojošo dokumentāciju, vēlākais līdz 2026.gada 30.jūnijam</w:t>
            </w:r>
            <w:r w:rsidR="00000000" w:rsidRPr="00000000" w:rsidDel="00000000">
              <w:rPr>
                <w:rtl w:val="0"/>
              </w:rPr>
              <w:t xml:space="preserve">, lai līgumslēdzējs, nozares ministrija vai Valsts kanceleja varētu veikt visas nepieciešamās pārbaudes, noslēguma maksājumus un sagatavot nepieciešamo informāciju pārvaldības deklarācijas un audita kopsavilkuma sagatavošanai saskaņā ar MK noteikumiem Nr.621.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Jodele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anotāciju ar informāciju par izstrādāto grozījumu ietekmi uz  2.3.1.4.i. investīcijām  un skaidrot kādā stadijā ir minētās investīcijas ietvaros iesniegtie projekta iesniegumi.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Vamža (FM) (Ance Rudzīte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5.punktā minētās finansiālās vērtības norādīt arī šīs sadaļas 5.1.apakšpunktā, kā arī 6.punktā iekļauto Atveseļošanas fonda finansējumu uzrādīt euro, nevis milj.euro.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Remeiķe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 investīcijas 2.3.1.3.i. projekta iesniedzēju;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2024. gada 23. jūlija noteikumi Nr.506 "Latvijas Atveseļošanas un noturības mehānisma 2.3. reformu un investīciju virziena "Digitālā transformācija" 2.3.1.r. reformas "Ilgtspējīgas un sociāli atbildīgas atbalsta sistēmas pieaugušo izglītības atbalstam" 2.3.1.4.i. investīcijas "Individuālo mācību kontu pieejas attīstība" īstenošanas noteikumi"  regulē arī 2.3.1.4. i investīciju kārtību, lūdzam papildināt noteikumu projekta 1.punktā izteikto noteikumu 1.1.6. un 1.1.7. apakšpunktus ar norādi uz minētajām investīcijām, pretējā gadījumā rodas interpretācijas problēmas par to kādas investīcijas noteikumi regulē.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Vamža (FM) (Ance Rudzīte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 izglītības programma – neformālās izglītības programma, kas ir viens posms no izglītības programmu cikla IKT speciālistam nepieciešamo kompetenču apgūšanai pašvadītas mācīšanās pieejā, kurā sagaidāmie mācīšanās rezultāti atbilst DigComp aktuālās versijas no piektā  līdz astotajam apguves līmenim un e-CF ietvaram;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Termins "izglītības programma" tiek lietots MK 23.07.2024. noteikumos Nr. 506 saistībā arī ar 2.3.1.4.i. investīcijas atbalstāmajām darbībām, tādēļ lūdzam izvērtēt, vai šis termins nav pretrunā ar, piemēram, noteikumu 2.4., 15., 16., 20. u.c. punktos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Olsone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Investīcijas 2.3.1.3.i. ietvaros līdz 2026. gada 31. augustam sasniedzams mērķa rādītājs - 1000 IKT speciālisti, kuri ir pabeiguši vismaz vienu izglītības programmu neformālās izglītības ietvaros īstenotajās IKT speciālistu pašvadītās mācībās.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7.</w:t>
            </w:r>
            <w:r w:rsidR="00000000" w:rsidRPr="00000000" w:rsidDel="00000000">
              <w:rPr>
                <w:vertAlign w:val="superscript"/>
                <w:rtl w:val="0"/>
              </w:rPr>
              <w:t xml:space="preserve">1</w:t>
            </w:r>
            <w:r w:rsidR="00000000" w:rsidRPr="00000000" w:rsidDel="00000000">
              <w:rPr>
                <w:rtl w:val="0"/>
              </w:rPr>
              <w:t xml:space="preserve">punkta redakciju atbilstoši Latvijas atveseļošanas un noturības plāna investīcijas mērķrādītāja Nr. 65 redakcijai.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Investīcijas 2.3.1.3.i. ietvaros līdz 2026. gada 31. augustam sasniedzams mērķa rādītājs - 1000 IKT speciālisti, kuri apmācīti, izmantojot neformālu mācību pieeju.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Olsone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investīcijas 2.3.1.3.i. atbalstāmo darbību īstenošana tiek uzsākta 2025.gada 1.martā un tiek īstenota līdz 2026. gada 31. augustam.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10.2.apakšpunktu, paredzot, ka atbalstāmo darbību ietvarā netiek iekļautas darbības, kas ir pabeigtas līdz dienai, kad noslēgta finansējuma saņēmēja un Centrālās finanšu un līgumu aģentūras vienošanās par grozījumiem 2.3.1.3.i. investīcijas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Olsone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19.3. nodrošina interešu konflikta, korupcijas un krāpšanas riska neiestāšanos. Finansējuma saņēmējs paraksta apliecinājumu ar elektronisko parakstu par interešu konflikta neesību saskaņā ar Eiropas Parlamenta un Padomes 2018. gada 18. jūlija Regulas (ES, Euratom)  </w:t>
            </w:r>
            <w:r w:rsidR="00000000" w:rsidRPr="00000000" w:rsidDel="00000000">
              <w:rPr>
                <w:rtl w:val="0"/>
              </w:rPr>
              <w:t xml:space="preserve">2018/1046</w:t>
            </w:r>
            <w:r w:rsidR="00000000" w:rsidRPr="00000000" w:rsidDel="00000000">
              <w:rPr>
                <w:rtl w:val="0"/>
              </w:rPr>
              <w:t xml:space="preserve"> par finanšu noteikumiem, ko piemēro Savienības vispārējam budžetam, ar kuru groza Regulas (ES) Nr.  </w:t>
            </w:r>
            <w:r w:rsidR="00000000" w:rsidRPr="00000000" w:rsidDel="00000000">
              <w:rPr>
                <w:rtl w:val="0"/>
              </w:rPr>
              <w:t xml:space="preserve">1296/2013</w:t>
            </w:r>
            <w:r w:rsidR="00000000" w:rsidRPr="00000000" w:rsidDel="00000000">
              <w:rPr>
                <w:rtl w:val="0"/>
              </w:rPr>
              <w:t xml:space="preserve">, (ES) Nr.  </w:t>
            </w:r>
            <w:r w:rsidR="00000000" w:rsidRPr="00000000" w:rsidDel="00000000">
              <w:rPr>
                <w:rtl w:val="0"/>
              </w:rPr>
              <w:t xml:space="preserve">1301/2013</w:t>
            </w:r>
            <w:r w:rsidR="00000000" w:rsidRPr="00000000" w:rsidDel="00000000">
              <w:rPr>
                <w:rtl w:val="0"/>
              </w:rPr>
              <w:t xml:space="preserve">, (ES) Nr.  </w:t>
            </w:r>
            <w:r w:rsidR="00000000" w:rsidRPr="00000000" w:rsidDel="00000000">
              <w:rPr>
                <w:rtl w:val="0"/>
              </w:rPr>
              <w:t xml:space="preserve">1303/2013</w:t>
            </w:r>
            <w:r w:rsidR="00000000" w:rsidRPr="00000000" w:rsidDel="00000000">
              <w:rPr>
                <w:rtl w:val="0"/>
              </w:rPr>
              <w:t xml:space="preserve">, (ES) Nr.  </w:t>
            </w:r>
            <w:r w:rsidR="00000000" w:rsidRPr="00000000" w:rsidDel="00000000">
              <w:rPr>
                <w:rtl w:val="0"/>
              </w:rPr>
              <w:t xml:space="preserve">1304/2013</w:t>
            </w:r>
            <w:r w:rsidR="00000000" w:rsidRPr="00000000" w:rsidDel="00000000">
              <w:rPr>
                <w:rtl w:val="0"/>
              </w:rPr>
              <w:t xml:space="preserve">, (ES) Nr.  </w:t>
            </w:r>
            <w:r w:rsidR="00000000" w:rsidRPr="00000000" w:rsidDel="00000000">
              <w:rPr>
                <w:rtl w:val="0"/>
              </w:rPr>
              <w:t xml:space="preserve">1309/2013</w:t>
            </w:r>
            <w:r w:rsidR="00000000" w:rsidRPr="00000000" w:rsidDel="00000000">
              <w:rPr>
                <w:rtl w:val="0"/>
              </w:rPr>
              <w:t xml:space="preserve">, (ES) Nr.  </w:t>
            </w:r>
            <w:r w:rsidR="00000000" w:rsidRPr="00000000" w:rsidDel="00000000">
              <w:rPr>
                <w:rtl w:val="0"/>
              </w:rPr>
              <w:t xml:space="preserve">1316/2013</w:t>
            </w:r>
            <w:r w:rsidR="00000000" w:rsidRPr="00000000" w:rsidDel="00000000">
              <w:rPr>
                <w:rtl w:val="0"/>
              </w:rPr>
              <w:t xml:space="preserve">, (ES) Nr.  </w:t>
            </w:r>
            <w:r w:rsidR="00000000" w:rsidRPr="00000000" w:rsidDel="00000000">
              <w:rPr>
                <w:rtl w:val="0"/>
              </w:rPr>
              <w:t xml:space="preserve">223/2014</w:t>
            </w:r>
            <w:r w:rsidR="00000000" w:rsidRPr="00000000" w:rsidDel="00000000">
              <w:rPr>
                <w:rtl w:val="0"/>
              </w:rPr>
              <w:t xml:space="preserve">, (ES) Nr.  </w:t>
            </w:r>
            <w:r w:rsidR="00000000" w:rsidRPr="00000000" w:rsidDel="00000000">
              <w:rPr>
                <w:rtl w:val="0"/>
              </w:rPr>
              <w:t xml:space="preserve">283/2014</w:t>
            </w:r>
            <w:r w:rsidR="00000000" w:rsidRPr="00000000" w:rsidDel="00000000">
              <w:rPr>
                <w:rtl w:val="0"/>
              </w:rPr>
              <w:t xml:space="preserve"> un Lēmumu Nr. 541/2014/ES un atceļ Regulu (ES, Euratom) Nr.  </w:t>
            </w:r>
            <w:r w:rsidR="00000000" w:rsidRPr="00000000" w:rsidDel="00000000">
              <w:rPr>
                <w:rtl w:val="0"/>
              </w:rPr>
              <w:t xml:space="preserve">966/2012</w:t>
            </w:r>
            <w:r w:rsidR="00000000" w:rsidRPr="00000000" w:rsidDel="00000000">
              <w:rPr>
                <w:rtl w:val="0"/>
              </w:rPr>
              <w:t xml:space="preserve">, 61.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2024. gada 30. septembrī stājusies spēkā Eiropas Parlamenta un Padomes 2024. gada 23. septembra Regula (ES, Euratom) 2024/2509 par finanšu noteikumiem, ko piemēro Savienības vispārējam budžetam (pārstrādāta redakcija) (turpmāk - Regula 2024/2509). Saskaņā ar Regulas 2024/2509 279. pantu tā atceļ iepriekšējo “Finanšu regulu” – Eiropas Parlamenta un Padomes 2018. gada 18. jūlija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Lūdzam  noteikumu projektā (19.3., 90.15. apakšpunktā un 91.</w:t>
            </w:r>
            <w:r w:rsidR="00000000" w:rsidRPr="00000000" w:rsidDel="00000000">
              <w:rPr>
                <w:vertAlign w:val="superscript"/>
                <w:rtl w:val="0"/>
              </w:rPr>
              <w:t xml:space="preserve">10</w:t>
            </w:r>
            <w:r w:rsidR="00000000" w:rsidRPr="00000000" w:rsidDel="00000000">
              <w:rPr>
                <w:rtl w:val="0"/>
              </w:rPr>
              <w:t xml:space="preserve"> un 91.</w:t>
            </w:r>
            <w:r w:rsidR="00000000" w:rsidRPr="00000000" w:rsidDel="00000000">
              <w:rPr>
                <w:vertAlign w:val="superscript"/>
                <w:rtl w:val="0"/>
              </w:rPr>
              <w:t xml:space="preserve">11 </w:t>
            </w:r>
            <w:r w:rsidR="00000000" w:rsidRPr="00000000" w:rsidDel="00000000">
              <w:rPr>
                <w:rtl w:val="0"/>
              </w:rPr>
              <w:t xml:space="preserve">punktā), tai skaitā anotācijā  un spēkā esošo noteikumu redakcijā pārbaudīt un precizēt atsauci (papildinot noteikumu projektu ar attiecīgajiem grozījumiem) uz aktuālo Regulu 2024/2509.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Regulas 2024/2509 279. pantu atsauces uz atcelto regulu uzskata par atsaucēm uz Regulu 2024/2509, un tās lasa saskaņā ar atbilstības tabulu Regulas 2024/2509 II pielikumā.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Vamža (FM) (Ance Rudzīte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Šo noteikumu </w:t>
            </w:r>
            <w:r w:rsidR="00000000" w:rsidRPr="00000000" w:rsidDel="00000000">
              <w:rPr>
                <w:rtl w:val="0"/>
              </w:rPr>
              <w:t xml:space="preserve">77.</w:t>
            </w:r>
            <w:r w:rsidR="00000000" w:rsidRPr="00000000" w:rsidDel="00000000">
              <w:rPr>
                <w:rtl w:val="0"/>
              </w:rPr>
              <w:t xml:space="preserve"> punktā</w:t>
            </w:r>
            <w:r w:rsidR="00000000" w:rsidRPr="00000000" w:rsidDel="00000000">
              <w:rPr>
                <w:rtl w:val="0"/>
              </w:rPr>
              <w:t xml:space="preserve"> minētos individuālā mācību konta lietotāja datus noteiktajos gadījumos un apjomā finansējuma saņēmējs ir tiesīgs nodot Centrālajai finanšu un līgumu aģentūrai, Izglītības un zinātnes ministrijai un citām Atveseļošanas fonda īstenošanā un uzraudzībā iesaistītajām institūcijām, tai skaitā Latvijas Republikas un Eiropas Komisijas finansēšanas nolīgumā par Atveseļošanas un noturības mehānismu minētajām iestādēm. Institūcija, kas ir iesaistīta Atveseļošanas fonda projektu īstenošanā un izmanto platformu, lai uzkrātu savu īstenoto projektu mērķu sasniegšanai nepieciešamos personas datus, ir tiesīga nodot šo noteikumu </w:t>
            </w:r>
            <w:r w:rsidR="00000000" w:rsidRPr="00000000" w:rsidDel="00000000">
              <w:rPr>
                <w:rtl w:val="0"/>
              </w:rPr>
              <w:t xml:space="preserve">77.1.3. </w:t>
            </w:r>
            <w:r w:rsidR="00000000" w:rsidRPr="00000000" w:rsidDel="00000000">
              <w:rPr>
                <w:rtl w:val="0"/>
              </w:rPr>
              <w:t xml:space="preserve">apakšpunktā</w:t>
            </w:r>
            <w:r w:rsidR="00000000" w:rsidRPr="00000000" w:rsidDel="00000000">
              <w:rPr>
                <w:rtl w:val="0"/>
              </w:rPr>
              <w:t xml:space="preserve"> minētos individuālā mācību konta lietotāja personas datus citai institūcijai, kas ir iesaistīta Atveseļošanas fonda projektu īstenošanā, lai pārliecinātos par dubultā finansējuma neesamību. Pārbaudei nodod tikai tās vecuma mērķa grupas datu subjektu personas datus, kas rada dubultā finansējuma risku.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precizēt noteikumu 84. punkta piedāvāto redakciju "[…] Pārbaudei nodod tikai tās vecuma mērķa grupas datu subjektu personas datus, kas rada dubultā finansējuma riskus" , jo saskaņā ar anotācijā norādīto informāciju prasmju pārvaldības platformā ir iespēja piedalīties vairākos mācību projektos digitālo prasmju apguvei un dažādās programmās un tā kā mācības notiek ilgākā laika periodā, dalībnieks laika gaitā var būt kvalificējams vairākās vecuma mērķa grupās. Turklāt pārbaudīt dubulto finansējumu un tā risku var pēc datu saņemšanas vai apmaiņas, nevis laikā, kad datus nodod.</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Olsone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r w:rsidR="00000000" w:rsidRPr="00000000" w:rsidDel="00000000">
              <w:rPr>
                <w:vertAlign w:val="superscript"/>
                <w:rtl w:val="0"/>
              </w:rPr>
              <w:t xml:space="preserve">3</w:t>
            </w:r>
            <w:r w:rsidR="00000000" w:rsidRPr="00000000" w:rsidDel="00000000">
              <w:rPr>
                <w:rtl w:val="0"/>
              </w:rPr>
              <w:t xml:space="preserve"> Investīcijas 2.3.1.3.i. ietvaros izmaksas par viena dalībnieka dalību izglītības programmu ciklā nevar pārsniegt 3990 euro bez pievienotās vērtības nodokļa.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iekļaut skaidrojumu par noteikumu 91.</w:t>
            </w:r>
            <w:r w:rsidR="00000000" w:rsidRPr="00000000" w:rsidDel="00000000">
              <w:rPr>
                <w:vertAlign w:val="superscript"/>
                <w:rtl w:val="0"/>
              </w:rPr>
              <w:t xml:space="preserve">3</w:t>
            </w:r>
            <w:r w:rsidR="00000000" w:rsidRPr="00000000" w:rsidDel="00000000">
              <w:rPr>
                <w:rtl w:val="0"/>
              </w:rPr>
              <w:t xml:space="preserve">punktā izvēlēto izmaksu apmēru par viena dalībnieka dalību izglītības programmas ciklā 3990 euro bez PVN. Investīcijas 2.3.1.3.i. mērķrādītāja Nr.65 atskaites punkts ir pabeigts vismaz viens izglītības programma posms (nevis izglītības programmas cikls). Lūdzam anotācijā skaidrot, vai Pakalpojuma sniedzēja nodrošinātām apmācībām izglītības programmas apguvei ir paredzēts dalībnieku skaita ierobežojums, un vai iespējami gadījumi pakalpojuma sniegšanas atteikumam dēļ nepietiekama vietu skaita vai piešķirtā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Olsone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r w:rsidR="00000000" w:rsidRPr="00000000" w:rsidDel="00000000">
              <w:rPr>
                <w:vertAlign w:val="superscript"/>
                <w:rtl w:val="0"/>
              </w:rPr>
              <w:t xml:space="preserve">6</w:t>
            </w:r>
            <w:r w:rsidR="00000000" w:rsidRPr="00000000" w:rsidDel="00000000">
              <w:rPr>
                <w:rtl w:val="0"/>
              </w:rPr>
              <w:t xml:space="preserve"> Investīcijas 2.3.1.3.i. ietvaros izmaksas pievienotās vērtības nodokļa segšanai 26 325 euro apmērā paredzētas tikai projekta administratīvu izmaksu segšanai.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91.</w:t>
            </w:r>
            <w:r w:rsidR="00000000" w:rsidRPr="00000000" w:rsidDel="00000000">
              <w:rPr>
                <w:vertAlign w:val="superscript"/>
                <w:rtl w:val="0"/>
              </w:rPr>
              <w:t xml:space="preserve">6</w:t>
            </w:r>
            <w:r w:rsidR="00000000" w:rsidRPr="00000000" w:rsidDel="00000000">
              <w:rPr>
                <w:rtl w:val="0"/>
              </w:rPr>
              <w:t xml:space="preserve"> punktu ar vārdu “līdz” pirms norādītā finansējuma apmēra.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Remeiķe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r w:rsidR="00000000" w:rsidRPr="00000000" w:rsidDel="00000000">
              <w:rPr>
                <w:vertAlign w:val="superscript"/>
                <w:rtl w:val="0"/>
              </w:rPr>
              <w:t xml:space="preserve">8</w:t>
            </w:r>
            <w:r w:rsidR="00000000" w:rsidRPr="00000000" w:rsidDel="00000000">
              <w:rPr>
                <w:rtl w:val="0"/>
              </w:rPr>
              <w:t xml:space="preserve">3. izslēgt demarkācijas un dubultfinansējuma riskus, nodrošināt mācībām pieteikušos dalībnieku pārbaudi, vai platformas ietvaros tie nepiedalās citos Atveseļošanas fonda īstenotos mācību pasākumos un to dalība netiek finansēta no Atveseļošanas fonda līdzekļiem. Dalībnieks, kuram tiek konstatēta dalība citā mācību pasākumā platformas ietvaros, nevar pretendēt uz dalību IKT speciālistu mācībās līdz brīdim, kad ir pabeigtas vai pārtrauktas mācībās citas investīcijas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91.</w:t>
            </w:r>
            <w:r w:rsidR="00000000" w:rsidRPr="00000000" w:rsidDel="00000000">
              <w:rPr>
                <w:vertAlign w:val="superscript"/>
                <w:rtl w:val="0"/>
              </w:rPr>
              <w:t xml:space="preserve">8</w:t>
            </w:r>
            <w:r w:rsidR="00000000" w:rsidRPr="00000000" w:rsidDel="00000000">
              <w:rPr>
                <w:rtl w:val="0"/>
              </w:rPr>
              <w:t xml:space="preserve">3. punktu lūdzam anotācijā precizēt, ka finansējuma saņēmējam ir pienākums neuzskaitīt investīcijas 2.3.1.4.i. mērķrādītājā Nr. 66 dalībniekus, kas piedalās investīcijas 2.3.1.3.i. pašvadītās IKT speciālistu mācībās, izmantojot individuālo mācību kontu, un kas tiek uzskaitīti mērķrādītājā Nr. 65.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teikums piedāvātajā redakcijā "Dalībnieks, kuram tiek konstatēta dalība citā mācību pasākumā platformas ietvaros, nevar pretendēt uz dalību IKT speciālistu mācībās līdz brīdim, kad ir pabeigtas vai pārtrauktas mācībās citas investīcijas ietvaros" nenovērš izglītības programmu tematisku pārklāšanos un demarkāciju.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Olsone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r w:rsidR="00000000" w:rsidRPr="00000000" w:rsidDel="00000000">
              <w:rPr>
                <w:vertAlign w:val="superscript"/>
                <w:rtl w:val="0"/>
              </w:rPr>
              <w:t xml:space="preserve">9</w:t>
            </w:r>
            <w:r w:rsidR="00000000" w:rsidRPr="00000000" w:rsidDel="00000000">
              <w:rPr>
                <w:rtl w:val="0"/>
              </w:rPr>
              <w:t xml:space="preserve"> Lai nodrošinātu 2.3.1.3.i. investīcijas mērķa sasniegšanu, finansējuma saņēmējs veic publiskos iepirkumus atklātā, pārredzamā, nediskriminējošā un konkurenci nodrošinošā procedūrā saskaņā ar normatīvajiem aktiem publisko iepirkumu jomā investīcijas izglītības programmu atlasei.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inovācijas publiskā iepirkuma veikšanas iespējas un attiecīgi papildināt 91.</w:t>
            </w:r>
            <w:r w:rsidR="00000000" w:rsidRPr="00000000" w:rsidDel="00000000">
              <w:rPr>
                <w:vertAlign w:val="superscript"/>
                <w:rtl w:val="0"/>
              </w:rPr>
              <w:t xml:space="preserve">9 </w:t>
            </w:r>
            <w:r w:rsidR="00000000" w:rsidRPr="00000000" w:rsidDel="00000000">
              <w:rPr>
                <w:rtl w:val="0"/>
              </w:rPr>
              <w:t xml:space="preserve">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Olsone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r w:rsidR="00000000" w:rsidRPr="00000000" w:rsidDel="00000000">
              <w:rPr>
                <w:vertAlign w:val="superscript"/>
                <w:rtl w:val="0"/>
              </w:rPr>
              <w:t xml:space="preserve">15</w:t>
            </w:r>
            <w:r w:rsidR="00000000" w:rsidRPr="00000000" w:rsidDel="00000000">
              <w:rPr>
                <w:rtl w:val="0"/>
              </w:rPr>
              <w:t xml:space="preserve"> Finansējuma saņēmējs un Centrālā finanšu un līgumu aģentūra ne vēlāk kā līdz 2025. gada 30. aprīlim veic attiecīgos grozījumus Vienošanās par Eiropas Savienības Atveseļošanas fonda projekta ieviešanu Nr.2.3.1.4.i.0/1/23/I/CFLA/001 saistībā ar investīcijas 2.3.1.3.i.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34.punktā izteiktais 91.</w:t>
            </w:r>
            <w:r w:rsidR="00000000" w:rsidRPr="00000000" w:rsidDel="00000000">
              <w:rPr>
                <w:vertAlign w:val="superscript"/>
                <w:rtl w:val="0"/>
              </w:rPr>
              <w:t xml:space="preserve">15</w:t>
            </w:r>
            <w:r w:rsidR="00000000" w:rsidRPr="00000000" w:rsidDel="00000000">
              <w:rPr>
                <w:rtl w:val="0"/>
              </w:rPr>
              <w:t xml:space="preserve"> punkts pēc būtības nav regulējams, kas ietverams Ministru kabineta noteikumos, bet  Ministru kabineta noteikumu protokollēmumā. Lūdzam skaidrot, tā lietderību izziņas ietvaros taču, ja  konkrētā gadījumā tas ir nepieciešams, lūdzam pārcelt minēto regulējumu uz Ministru kabineta protokollēmumu. Vienlaikus lūdzam izvērtēt, vai minētajā punktā ietvertais termiņš ir izpildāms, ņemot vērā noteikumu projekta skaņošanas procesu. Ierosinām noteikt, ka finansējuma saņēmējs un Centrālā finanšu un līgumu aģentūra grozījumus veic ne vēlāk kā mēneša laikā pēc noteikumu projekta spēkā stāšanās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Vamža (FM) (Ance Rudzīte (FM)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25-TA-61</w:t>
    </w:r>
    <w:r>
      <w:br/>
    </w:r>
    <w:r w:rsidR="00000000" w:rsidRPr="00000000" w:rsidDel="00000000">
      <w:rPr>
        <w:rtl w:val="0"/>
      </w:rPr>
      <w:t xml:space="preserve">Izdrukāts 14.03.2025. 06.52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25-TA-61</w:t>
    </w:r>
    <w:r>
      <w:br/>
    </w:r>
    <w:r w:rsidR="00000000" w:rsidRPr="00000000" w:rsidDel="00000000">
      <w:rPr>
        <w:rtl w:val="0"/>
      </w:rPr>
      <w:t xml:space="preserve">Izdrukāts 14.03.2025. 06.52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Atzinumi_25-TA-61.docx</dc:title>
</cp:coreProperties>
</file>

<file path=docProps/custom.xml><?xml version="1.0" encoding="utf-8"?>
<Properties xmlns="http://schemas.openxmlformats.org/officeDocument/2006/custom-properties" xmlns:vt="http://schemas.openxmlformats.org/officeDocument/2006/docPropsVTypes"/>
</file>