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Pasta maksājumu pakalpojumu reglamentu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Maksājumu pakalpojumu un elektroniskās naudas likuma 4.panta pirmajai daļai redakcijā, kas spēkā no 2023.gada 1.janvāra, licencēšanu veic Latvijas Banka.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Latvijā maksājumu pakalpojumus drīkst sniegt, ja MPENL noteiktajā kārtībā saņemta </w:t>
            </w:r>
            <w:r w:rsidR="00000000" w:rsidRPr="00000000" w:rsidDel="00000000">
              <w:rPr>
                <w:u w:val="single"/>
                <w:rtl w:val="0"/>
              </w:rPr>
              <w:t xml:space="preserve">Latvijas Bankas</w:t>
            </w:r>
            <w:r w:rsidR="00000000" w:rsidRPr="00000000" w:rsidDel="00000000">
              <w:rPr>
                <w:rtl w:val="0"/>
              </w:rPr>
              <w:t xml:space="preserve"> licence, vai iestāde reģistrēta.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Bite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</w:t>
    </w:r>
    <w:r>
      <w:br/>
    </w:r>
    <w:r w:rsidR="00000000" w:rsidRPr="00000000" w:rsidDel="00000000">
      <w:rPr>
        <w:rtl w:val="0"/>
      </w:rPr>
      <w:t xml:space="preserve">Izdrukāts 24.01.2023.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</w:t>
    </w:r>
    <w:r>
      <w:br/>
    </w:r>
    <w:r w:rsidR="00000000" w:rsidRPr="00000000" w:rsidDel="00000000">
      <w:rPr>
        <w:rtl w:val="0"/>
      </w:rPr>
      <w:t xml:space="preserve">Izdrukāts 24.01.2023.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