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juridisko personu uzskaitījumu papildināt ar likuma izpildē iesaistītajām institūcijām privātajā jomā, piem., Latvijas Dabas fondu, Latvijas Ornitoloģijas biedrību un organizācijām, kuras tieši pārstāv zemes īpašnieku vai aizsargājamās teritorijas iedzīvotāju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iepretim sadaļai "</w:t>
            </w:r>
            <w:r w:rsidR="00000000" w:rsidRPr="00000000" w:rsidDel="00000000">
              <w:rPr>
                <w:i w:val="1"/>
                <w:rtl w:val="0"/>
              </w:rPr>
              <w:t xml:space="preserve">Kā ir izmantota ES tiesību aktā paredzētā rīcības brīvība dalībvalstij pārņemt vai ieviest noteiktas ES tiesību akta normas? Kādēļ?</w:t>
            </w:r>
            <w:r w:rsidR="00000000" w:rsidRPr="00000000" w:rsidDel="00000000">
              <w:rPr>
                <w:rtl w:val="0"/>
              </w:rPr>
              <w:t xml:space="preserve">" lūdzam norādīt konkrēto ES tiesību akta normu, kura paredz norādīto rīcības brīvību dalībvalstij, proti:" Lai iespējami mazinātu apgrūtinājumus privātīpašumā esošajās zemēs, likumprojekts paredz GNP noteikt funkcionālās zonas, kur paredzēts noteikt atšķirīgus saimnieciskās darbības ierobežojumus (likumprojekta 3.panta trešā 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atsauces uz Eiropas Savienības tiesību aktiem noformēt atbilstoši Ministru kabineta 2009. gada 3. februāra noteikumu Nr. 108 „Normatīvo aktu projektu sagatavošanas noteikumi” 168.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Padomes 1992. gada 21. maija direktīva 92/43/EEK par dabisko dzīvotņu, savvaļas faunas un floras aizsardzību.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informāciju, papildinot to ar citām likuma izpildē iesaistītajām institūcijām, piem., Viedās administrācijas un reģionālās attīstības ministriju (konsult. padomes jaut. u.c.), Zemkopības ministriju, Valsts meža dienestu, Lauku atbalsta dienestu, Nacionālās kultūras mantojuma pārvaldi, pašvaldībām, kuru teritorijā atrodas parks.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sadaļu, jo projektam ir ietekme uz cilvēktiesībām noteiktā teritorijā (tiek paredzēta virkne tiesību ierobežojumu attiecībā uz kuriem skaidrojama to nepieciešamība un samērīgums).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26.03.2025.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26.03.2025.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Atzinumi_24-TA-209.docx</dc:title>
</cp:coreProperties>
</file>

<file path=docProps/custom.xml><?xml version="1.0" encoding="utf-8"?>
<Properties xmlns="http://schemas.openxmlformats.org/officeDocument/2006/custom-properties" xmlns:vt="http://schemas.openxmlformats.org/officeDocument/2006/docPropsVTypes"/>
</file>