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izslēgšanas nosacījumus atbilstoši Eiropas Parlamenta un Padomes 2024. gada 23.septembra regulai (ES, Euratrom) 2024/2509 par finanšu noteikumiem, ko piemēro Savienības vispārējam budžetam, prasības projekta iesniedzējiem un finansējuma saņēmējiem, atbalstāmas darbības un izmaksu attiecināmību, komercdarbības atbalsta piešķiršanas nosacījumus, projektu iesniegumu iesniegšanas, izskatīšanas, apstiprināšanas un finansējuma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nav pieļaujams iekļaut pilnvarojumu Ministru kabinetam noteikt ar sodu piemērošanu vai sodāmības esību tieši saistītu jautājumu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Minētais attiecināms arī uz administratīvo atbildību un citām krimināltiesiska (sodoša) rakstura sankcijām. 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 sk. 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Tas nozīmē, ka vienīgi parlaments var noteikt administratīvos pārkāpumus un par tiem piemērojamos sodus (Latvijā vēsturiski to var arī pašvaldība kā tieši demokrātiski leģitimēta institūcija, balstoties uz precīzu parlamenta pilnvarojumu). Minētais attiecas arī uz jautājumiem, kas tieši saistīti ar sodu un tā tiesiskajām sekām. Pretējā gadījumā šādā veidā izpildvara varētu būtiski izmainīt likumdevēja īstenoto sodu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Dažkārt administratīvās sodāmības tiesiskās sekas iziet ārpus formālajām administratīvo pārkāpumu tiesībām. Likumdevējs atsevišķās jomās ir noteicis (papildu) ierobežojumus administratīvi sodītajām personām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141. lpp.</w:t>
            </w:r>
            <w:r w:rsidR="00000000" w:rsidRPr="00000000" w:rsidDel="00000000">
              <w:rPr>
                <w:rtl w:val="0"/>
              </w:rPr>
              <w:t xml:space="preserve">). Taču būtībā šādiem ierobežojumiem ir papildsodam raksturīga ietekme. Vienīgi privātpersonām tiesību ierobežojumi netiek formāli piemēroti kā Administratīvās atbildības likumā minētie papildsodi, bet noteikti citi tiesību ierobežojumi attiecīgās nozares likumā. Tomēr Ministru kabinetam jebkurā gadījumā nav tiesību noteikt šādus ierobežojumus, pretējā gadījumā izpildvara varētu būtiski ietekmēt administratīvās sodāmības tiesiskās sekas. Saeimai kā formālajam likumdevējam nav tiesību arī pilnvarot Ministru kabinetu regulēt šādus jautājumus. Tā ir ekskluzīva likumdevēja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noteikumos nav ietverami projekta iesniedzēja izslēgšanas nosacījumi, projektu vērtēšanas kritēriji vai tamlīdzīga rakstura jautājumi, kas saistīti ar kriminālatbildību, administratīvo atbildību vai citām krimināltiesiska (sodoša) rakstura administratīvām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izslēgšanas nosacījumi skar jautājumus, kas saistīti ar kriminālsoda vai administratīvā soda (sodāmības) esību jebkādā veidā, tad šāda veida kritērijus var noteikt tikai formālais likumdevējs. To nevar darīt Ministru kabinets, kā arī Ministru kabinetu nedrīkst pilnvarot noteikt vai konkretizēt šādus kritērijus (nosacījumus u. tml.). Citiem vārdiem sakot, Ministru kabineta noteikumos nav pieļaujams noteikt ar kriminālatbildību vai administratīvo atbildību saistītus ierobežojumus privātpersonām. Pastāv atsevišķi jautājumi, kuri vienmēr ir jāizlemj pašam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Iepriekš minētais attiecas arī uz situāciju, ja šādu kritēriju pamatregulējums ir noteikts Eiropas Savienības regulā. Ja dalībvalstij piemīt rīcības brīvība konkretizēt kritērijus vai pastāv citi apsvērumi, kāpēc šos kritērijus ir pieļaujams ietvert arī Latvijas normatīvajā tiesību aktā, ar sodu vai sodāmības esību saistītus kritērijus joprojām var noteikt tikai formālais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ka "nacionāli pastāv vismaz divi Eiropas Savienības atbalsta rīki, kur izslēgšanas kritēriji tiek noteikti Ministru kabineta līmenī". Šādam argumentam nav juridiskas nozīmes. Ministru kabineta noteikumu esība pati par sevi neapliecina, ka tajos ietvertais regulējums ir tiesisks un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augstākā kritika jeb rakstīto tiesību normu atbilstības izvērtēšana augstāka juridiska spēka tiesību normām ir jāveic arī katram tiesību normu piemērotājam, neskatoties uz to, kāda varētu būt konkrētajā gadījumā pieļaujamā piemērotāja rīcība (</w:t>
            </w:r>
            <w:r w:rsidR="00000000" w:rsidRPr="00000000" w:rsidDel="00000000">
              <w:rPr>
                <w:i w:val="1"/>
                <w:rtl w:val="0"/>
              </w:rPr>
              <w:t xml:space="preserve">Juridisko metožu mācība. Astoņi soļi tiesību normu piemērošanā. Zinātniskā monogrāfija prof. Dr. iur. Daigas Rezevskas zinātniskajā redakcijā. Rīga: Latvijas Universitātes Akadēmiskais apgāds, 2025, 81.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risinājumu piedāvājam veidot panta redakciju pēc līdzības ar Eiropas Savienības fondu 2021.—2027. gada plānošanas perioda vadības likuma 22. panta redakciju, likumprojektā atrunājot vismaz tikai tos kritērijus, kas saistīti ar personas sodāmību. Bet, ja Regulā jau ir skaidri kritēriji attiecībā uz sodāmību, tad tos nav nepieciešams pārrakstīt likumprojektā, bet ietvert tikai atsauces normu uz Regulas attiecīgo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izdod šā panta otrajā daļā minēto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finanšu instrumenta līdzekļu atgūšanas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saskaņošanas ietvaros veiktajām izmaiņām projekta 14. panta astotās daļas 2. punktā, proti, ietvertajā pilnvarojumā paredzot Ministru kabinetam noteikt arī "neattiecināmo finanšu instrumenta līdzekļu atgūšanas kārtību", lūdzam projekta anotācijā sniegt skaidrojumu, vai ar konkrēto pilnvarojumu paredzēts noteikt vienīgi minēto līdzekļu atgūšanas procedūru vai arī materiāltiesisku regulējumu, piemēram, nosacījumus vai gadījumus, kad šie līdzekļi tiek atgūti. Nepieciešamības gadījumā aicinām precizēt minēto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1</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2</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Satversmes tiesas 2011. gada 6. maija spriedums lietā Nr. 2010-57-03, 13.3. apakšpunkts.</w:t>
            </w:r>
            <w:r w:rsidR="00000000" w:rsidRPr="00000000" w:rsidDel="00000000">
              <w:rPr>
                <w:vertAlign w:val="superscript"/>
                <w:rtl w:val="0"/>
              </w:rPr>
              <w:t xml:space="preserve">[2]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izdod šā panta otrajā daļā minēto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pārskatu iesniegšanas un pārbaudes kārtību, kā arī neattiecināmo finanšu instrumenta līdzekļu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12.06.2025.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12.06.2025.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