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3. janvāra noteikumos Nr. 28 "Valsts akciju sabiedrības "Latvijas gaisa satiksme" sniegto aeronavigācijas pakalpojumu maksas noteikšanas un iekasēšanas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Saskaņā ar </w:t>
            </w:r>
            <w:r w:rsidR="00000000" w:rsidRPr="00000000" w:rsidDel="00000000">
              <w:rPr>
                <w:rtl w:val="0"/>
              </w:rPr>
              <w:t xml:space="preserve">Regulas Nr. 2019/317</w:t>
            </w:r>
            <w:r w:rsidR="00000000" w:rsidRPr="00000000" w:rsidDel="00000000">
              <w:rPr>
                <w:rtl w:val="0"/>
              </w:rPr>
              <w:t xml:space="preserve"> 31. panta 6. punktu izmaksas par pakalpojumiem, ko Latvijas gaisa satiksme sniedz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minētajiem lidojumiem, sedz attiecīgā ministrija no tās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neatbalsta Satiksmes ministrijas virzīto normatīvo aktu grozījumu redakcijā, kas paredz aeronavigācijas pakalpojumu izmaksas valsts nozīmes lidojumiem segšanu no attiecīgo ministriju t.i. Ārlietu ministrijas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ir atbildīga par diplomātisko lidojumu atļauju izsniegšanu visu Latvijas Republikas augstāko amatpersonu un viņu viesu lidojumiem, kā arī citiem lidojumiem, kas tiek veikti ar “HEAD" vai "STATE”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vērst uzmanību uz to, ka informāciju, kuru saņem VAS Latvijas Gaisa satiksme (LGS) un Ārlietu ministrija par atbrīvoto lidojumu veiktajiem pārlidojumiem, kā arī LGS piestādītajām atbrīvoto lidojumu izmaksām, būtiski atšķiras. Ārlietu ministrija apstrādā ārvalstu vēstniecību pieteikumus, balstoties uz ES Diplomātiskās atļaujas (EU DIC) formu, bet LGS – uz pieteiktajiem lidojuma plāniem.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uz to, ka Ministru kabineta 2015. gada 27.janvāra noteikumu Nr. 47 </w:t>
            </w:r>
            <w:r w:rsidR="00000000" w:rsidRPr="00000000" w:rsidDel="00000000">
              <w:rPr>
                <w:i w:val="1"/>
                <w:rtl w:val="0"/>
              </w:rPr>
              <w:t xml:space="preserve">“Latvijas Republikas gaisa telpas izmantošanas atļaujas piešķiršanas kārtība starptautisko tiesību subjektiem” </w:t>
            </w:r>
            <w:r w:rsidR="00000000" w:rsidRPr="00000000" w:rsidDel="00000000">
              <w:rPr>
                <w:rtl w:val="0"/>
              </w:rPr>
              <w:t xml:space="preserve">7. punkts (ar grozījumiem 26.06.2018.) nosaka, ka atsevišķa Ārlietu ministrijas izsniegta lidojuma atļauja, t.sk., gada lidojuma atļauja, nav nepieciešama Ziemeļatlantija līguma organizācijas (NATO), tās dalībvalstu vai Eiropas Savienības dalībvalstu gaisa kuģiem, ja to lidojuma mērķis atbilst 7. punktā minētajiem mērķiem. Šajos gadījumos diplomātiskā atļauja tiek piešķirta automātiski, kad tiek apstiprināts minēto organizāciju vai tās dalībvalstu gaisa kuģu lidojuma plāns, kas Ārlietu ministrijai nav pieejams.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uzskata, ka lidojumu uzskaites process ir necaurspīdīgs un pastāv risks, ka Ārlietu ministrijai nav precīza informācija, par ko un kādā apjomā tai būtu jāveic aeronavigācijas pakalpojumu maksa, kā arī ņemot vērā to, ka katru gadu paaugstinot vienības maksas likmes, nav iespējams budžetā paredzēt attiecīgu summu. Lai procesu padarītu caurspīdīgu un konstruktīvi risinātu šo jautājumu, visām pusēm ir jābūt precīzai un pārbaudāmai informācijai par gaisa kuģiem, gaisa kuģa statusu un veikto pārlidojumu datumiem.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Ventere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militārie lidojumi, kurus veic jebkuras valsts militārie gaisa kuģi;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vēlas informēt par gadījumiem, kad ārvalstu vēstniecības iesniedz pieteikumus par militāro gaisa kuģu lidojumiem, kas pieder attiecīgu valstu Bruņotajiem spēkiem un uz kura atrodas gan mītnes zemes valsts augstākās amatpersonas, gan arī Bruņoto spēku vai armijas augstas amatpersonas, līdz ar to šādos gadījumos ir nepieciešams skaidri definēt, kādos gadījumos militārie lidojumi tiek atbrīvoti no lidojumu maksas sniegšanas, un par kādiem militārajiem lidojumiem tiek prasīts segt aeronavigācijas 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Satiksmes ministriju precizēt Likumprojekta 3. panta 2. punktu, precizējot atbrīvoto lidojumu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Ventere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25-TA-74</w:t>
    </w:r>
    <w:r>
      <w:br/>
    </w:r>
    <w:r w:rsidR="00000000" w:rsidRPr="00000000" w:rsidDel="00000000">
      <w:rPr>
        <w:rtl w:val="0"/>
      </w:rPr>
      <w:t xml:space="preserve">Izdrukāts 23.05.2025. 15.29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25-TA-74</w:t>
    </w:r>
    <w:r>
      <w:br/>
    </w:r>
    <w:r w:rsidR="00000000" w:rsidRPr="00000000" w:rsidDel="00000000">
      <w:rPr>
        <w:rtl w:val="0"/>
      </w:rPr>
      <w:t xml:space="preserve">Izdrukāts 23.05.2025. 15.29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Atzinumi_25-TA-74.docx</dc:title>
</cp:coreProperties>
</file>

<file path=docProps/custom.xml><?xml version="1.0" encoding="utf-8"?>
<Properties xmlns="http://schemas.openxmlformats.org/officeDocument/2006/custom-properties" xmlns:vt="http://schemas.openxmlformats.org/officeDocument/2006/docPropsVTypes"/>
</file>