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papildināt ar punktu, kas skaidri pasaka, kādi investīcijas 1.1.1.2.i.i. atskaites punkti un mērķrādītāji ir jāsasniedz pirms gala maksājuma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Projektam komercdarbības atbalsta nosacījumu uzraudzību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finansējuma saņēmējiem nodrošina saskaņā ar </w:t>
            </w:r>
            <w:r w:rsidR="00000000" w:rsidRPr="00000000" w:rsidDel="00000000">
              <w:rPr>
                <w:rtl w:val="0"/>
              </w:rPr>
              <w:t xml:space="preserve">Komercdarbības atbalsta kontroles likuma</w:t>
            </w:r>
            <w:r w:rsidR="00000000" w:rsidRPr="00000000" w:rsidDel="00000000">
              <w:rPr>
                <w:rtl w:val="0"/>
              </w:rPr>
              <w:t xml:space="preserve"> 9.pantā noteikto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36.punktā atsauci uz šo MK noteikumu 6.punktu, jo šajā punktā nav norādīti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MK anotāciju vai noteikumus ar punktiem par ierobežojumiem finansējuma saņēmējam attiecībā uz komercdarbības atbalsta nosacījumiem, kā arī skaidri definēt kurš šo uzraudzību veiks – aģentūra (CFLA) vai pati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27.10.2022.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27.10.2022.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