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komersants sniedzis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un Aģentūra, izvērtējot, ka komersants neatbilst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pieteikuma saņemšanas to pārsūta par speciālās regulatīvās vides īstenošanas jomu atbildīgajai nozares ministrijai (turpmāk –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katrai prioritārajai projekta jomai, kas definēta Inovatīvas uzņēmējdarbības un prioritāro projektu atbalsta likuma 3. pantā, norādīt konkrētu/konkrētas atbildīgās nozaru ministrijas vai arī noteikt mehānismu, kādā veidā Ekonomikas ministrijas izveidotā Lielo un stratēģiski nozīmīgo investīciju projektu operatīvā darba grupa noteiks atbildīgo/atbildīgās nozaru ministrijas (piemēram, pēc nozaru ministrijas nolikuma par darbību vai cita normatīvā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izstrādāto regulējumu par speciālās regulatīvās vides izveidi un īstenošanu, nozaru ministrijām nebūs pieredzes attiecīgā tiesību akta projekta vai informatīvā ziņojuma izstrādē, attiecīgi lūdzam izvērtēt un paredzēt Latvijas Investīciju un attīstības aģentūras iesaisti tiesību akta projekta vai informatīvā ziņojuma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3. punktam, ne ilgāk kā trīs mēnešu laikā </w:t>
            </w:r>
            <w:r w:rsidR="00000000" w:rsidRPr="00000000" w:rsidDel="00000000">
              <w:rPr>
                <w:b w:val="1"/>
                <w:rtl w:val="0"/>
              </w:rPr>
              <w:t xml:space="preserve">pēc nepieciešamības sadarbībā ar Aģentūru</w:t>
            </w:r>
            <w:r w:rsidR="00000000" w:rsidRPr="00000000" w:rsidDel="00000000">
              <w:rPr>
                <w:rtl w:val="0"/>
              </w:rPr>
              <w:t xml:space="preserve">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ka ievērojot labas pārvaldības principu, iestāde pēc savas iniciatīvas nodrošina piekļuvi noteikta veida vispārpieejamai informācijai. Savukārt, likuma 10.panta (2.1)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nozares ministriju, sarakstu ar komersantiem, kas atbilst noteiktajām prasībām speciālās regulatīvās vides izveidei un īstenošanai, publicēt kā atvērtos datus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Nozares ministrija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tiesību akta projektā par speciālās regulatīvās vides īstenošanu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oficiālās elektroniskās adreses (e-adreses) kanāla izmantošanu informācijas apmaiņas procesos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