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"Alkoholisko dzērienu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saskaņojama ar projekta tekstu. Piemēram, projekta anotācijā ir norādīts, ka par papildu marķēšanas prasību neievērošanu paredzēts "piemērot brīdinājumu vai naudas sodu fiziskajai personai līdz simt naudas soda vienībām (500 euro), bet juridiskajai personai – </w:t>
            </w:r>
            <w:r w:rsidR="00000000" w:rsidRPr="00000000" w:rsidDel="00000000">
              <w:rPr>
                <w:b w:val="1"/>
                <w:rtl w:val="0"/>
              </w:rPr>
              <w:t xml:space="preserve">no četrām</w:t>
            </w:r>
            <w:r w:rsidR="00000000" w:rsidRPr="00000000" w:rsidDel="00000000">
              <w:rPr>
                <w:rtl w:val="0"/>
              </w:rPr>
              <w:t xml:space="preserve"> līdz trīssimt naudas soda vienībām (20–1500 euro)". Tas neatbilst projekta 5.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22-TA-888</w:t>
    </w:r>
    <w:r>
      <w:br/>
    </w:r>
    <w:r w:rsidR="00000000" w:rsidRPr="00000000" w:rsidDel="00000000">
      <w:rPr>
        <w:rtl w:val="0"/>
      </w:rPr>
      <w:t xml:space="preserve">Izdrukāts 24.01.2023.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22-TA-888</w:t>
    </w:r>
    <w:r>
      <w:br/>
    </w:r>
    <w:r w:rsidR="00000000" w:rsidRPr="00000000" w:rsidDel="00000000">
      <w:rPr>
        <w:rtl w:val="0"/>
      </w:rPr>
      <w:t xml:space="preserve">Izdrukāts 24.01.2023.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Atzinumi_22-TA-888.docx</dc:title>
</cp:coreProperties>
</file>

<file path=docProps/custom.xml><?xml version="1.0" encoding="utf-8"?>
<Properties xmlns="http://schemas.openxmlformats.org/officeDocument/2006/custom-properties" xmlns:vt="http://schemas.openxmlformats.org/officeDocument/2006/docPropsVTypes"/>
</file>