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ir kazuistisks, nepamatoti detalizēts, kā arī tajā ir ietvertas paša noteikumu projekta un citu normatīvo aktu dublējošs regulējums. Ņemot vērā minēto, lūdzam izvērtēt visu noteikumu projektu novēršot minētos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Darbiniekam ir tiesības vērsties pie darba devēja, lai rastu iespēju nodrošināt nepieciešamās mācības darbinieka darba pienākumu veikšanai, profesionālās kvalifikācijas pilnveidei vai pārkvalifikācijai darba laika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lūdzam 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devējs, pēc finansējuma saņēmēja pieteikuma apstiprināšanas, informē darbinieku par iespēju apmeklēt mācības un norīko tos dalībai,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Punktam nav juridiskas slodzes un šāda norma ir deklaratīva. Ņemot vērā minēto,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iesniedzējs nevar pretendēt uz finansējuma saņemšanu,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15. decembra noteikumu Nr. 108 "Normatīvo aktu projektu sagatavošanas noteikumi" (turpmāk – noteikumi Nr. 108) 3.2. apakšpunktu normatīvā akta projektā neietver normas, kas dublē augstāka vai tāda paša spēka normatīvā akta tiesību normās ietverto normatīvo regulējumu. Attiecīgi lūdzam izvērtēt un svītrot noteikumu projekta 22. punktu, jo minētās normas nosaka gadījumus, kad projekta iesnieguma iesniedzējs nevar pretendēt uz finansējuma saņemšanu, savukārt Eiropas Savienības fondu 2021. - 2027. gada plānošanas perioda vadības likuma 22. un 22. punktā jau ir noteikti projekta iesniedzēja izslēgšanas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tam uz atbalsta piešķiršanas brīdi nav piemērota kolektīva maksātnespējas procedūra, un tas neatbilst normatīvajos aktos noteiktajiem kritērijiem, lai tam pēc kreditoru pieprasījuma piemērotu kolektīvu maksātnespējas procedūru saskaņā ar Komisijas Regulas Nr. 651/2014 2. panta 18. punkta c)apakšpunktu.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punktā ietvertais regulējums neatbilst Latvijas Republikas tiesību aktos noteiktajam regulējumam, t.i., nacionālajā maksātnespējas regulējumā nav paredzēta kolektīva maksātnespējas procedūra. Ņemot vērā minēto,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sagatavo projekta iesniegumu atbilstoši projektu iesniegumu atlases nolikuma prasībām un iesniedz to Kohēzijas politikas fondu vadības informācijas sistēmā (turpmāk – Vadības informācijas sistēma), pievienojot šādus dokumentus un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punktu un svītrot tā apakšpunktus, jo projektu iesniegumu atlases nolikumā būs noteikti visi papildu iesniedzamie dokumenti, informācija un pienākums tos iesniegt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saskaņā ar projekta iesniegumu atlases nolikuma prasībām sagatavo projekta iesniegumu, tai skaitā, pievienojot nolikumā noteiktos papildu dokumentus, un iesniedz to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parakstītu apliecinājumu,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2006. gada 27. janvāra sanāksmes Eiropas Savienības tiesību jautājumos protokola Nr. 5 2. §, pārņemot starptautiskos tiesību aktus (Eiropas Komisijas vadlīnijas par interešu konfliktu), tiesību aktu normas jāiestrādā nacionālajā normatīvajā aktā kā nacionālā normatīvā akta sastāvdaļa, tādā veidā izvairoties no atsaucēm. Ja objektīvu apsvērumu dēļ valsts iestādei starptautisko tiesību dokumentu nav iespējams iestrādāt nacionālajā normatīvajā aktā kā nacionālā normatīvā akta sastāvdaļu, valsts iestādei, izstrādājot nacionālo normatīvo aktu, kurā ir atsauce uz starptautisko tiesību dokumentu, paralēli ir jānodrošina attiecīgā starptautiskā tiesību akta tulkojums latviešu valodā un jānodrošina tā publikācija (piemēram, valsts iestādes mājas lapā internetā), vienlaikus nacionālajā normatīvajā aktā norādot, kur ir iespējams atrast attiecīgo starptautisko tiesību aktu. Līdz ar to lūdzam precizēt noteikumu projekta 22.6. apakšpunktu, iestrādājot Eiropas Komisijas vadlīnijas par interešu konfliktu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parakstītu apliecinājumu, ka tam ir izstrādāta iekšējās kontroles sistēma (iekšējā kārtība) korupcijas un interešu konflikta riska kontrolei un ka tas ir informēts par Finanšu regulu, Eiropas Parlamenta un Padomes 2014. gada 26.februāra Direktīvu 2014/24/ES par publisko iepirkumu un ar ko atceļ Direktīvu 2004/18/EK, nacionālām prasībām, Eiropas Komisijas vadlīnijām par interešu konfliktu un apņemas tas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22.6. apakšpunktā iekļauta atsauce uz Eiropas Parlamenta un Padomes 2014. gada 26.februāra Direktīvu 2014/24/ES par publisko iepirkumu un ar ko atceļ Direktīvu 2004/18/EK, nacionālām prasībām. Norādām,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22.6. apakšpunktā norādīto atsauci uz minēto direktīvu aizstāt ar atsauci uz nacionālo tiesību aktu, kurā konkrētā direktīva ir pārņemta.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iesniegumu vērtē atbilstoši vērtēšanas kritērijiem. Katrā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noteiktajā nozarē vai apakšnozarē apstiprina vispirms vienu projekta iesniegumu ar augstāk iegūto punktu skaitu. Ja vairākiem projektu iesniegumiem ir vienāds punktu skaits, priekšroka ir projekta iesniegumam, kurā plānots lielākais mācībās iesaistīto darbinieku skaits. Ja pēc atbalstīto projektu iesniedzēju apstiprināšanas ir pieejams finansējums, apstiprina nākamo projekta iesniegumu ar augstāko punktu skaitu  Katrā šo noteikumu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ā noteiktajā nozarē vai apakšnozarē nevar atbalstīt vairāk kā divus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ietvertais regulējums tiks iekļauts projektu iesniegumu atlases nolikumos. Attiecīgi punktam nav juridiskas slodzes un šāda norma ir deklaratīva. Ņemot vērā minēto, lūdzam 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attiecībā uz darba devēju (maksa par materiāliem un pakalpojumiem, kas tieši saistīti ar mācībām, atbilstoši Komisijas regulas Nr. 651/2014 31. panta 3. punkta “b”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2.29. apakšpunkta apakšpunktos ir pārrakstīts Eiropas Komisijas 2014. gada 17. jūnija Regulas (ES) Nr. 651/2014, ar ko noteiktas atbalsta kategorijas atzīst par saderīgām ar iekšējo tirgu, piemērojot Līguma 107. un 108. pantu 31. panta 3.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2.29. apakšpunkta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41.26. pārliecināties, ka uz darba devēju nav attiecināma Komisijas regulas Nr. 651/2014 2. panta 18. punkta "c" apakšpunktā minētā situācija – tam nav piemērota kolektīva maksātnespējas procedūra, un tas neatbilst normatīvajos aktos noteiktajiem kritērijiem, lai tam pēc kreditoru pieprasījuma piemērotu kolektīvu maksātnespējas procedūru, ja atbalsts tiek piešķirts Komisijas regulas 651/2014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21.4. apakšpunktu,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Darba devējam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lietderību un nepieciešamības gadījumā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iesniegt apliecinājumu, ka tam nav piemērota kolektīva maksātnespējas procedūra, un tas neatbilst normatīvajos aktos noteiktajiem kritērijiem, lai tam pēc kreditoru pieprasījuma piemērotu kolektīvu maksātnespējas procedūru atbilstoši  Komisijas regulas Nr. 651/2014 2. panta 18. punkta "c"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noteikumu projekta 21.4. apakšpunktu,  lūdzam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mācībām nav iespējams noteikt tirgus cenu, jo nav salīdzināmu mācību, finansējuma saņēmējs paskaidro,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lietderību un nepieciešamības gadījumā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Sadarbības iestādei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normatīvā akta projektā neietver normas, kas dublē augstāka vai tāda paša spēka normatīvā akta tiesību normās ietverto normatīvo regulējumu. Attiecīgi lūdzam izvērtēt un svītrot noteikumu projekta 45. punktu, jo minētās normas nosaka pienākumus sadarbības iestādei, savukārt Eiropas Savienības fondu 2021. - 2027. gada plānošanas perioda vadības likuma 12. punktā jau ir noteikti sadarbības iestādes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nepiešķir darba devējam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Eiropas Parlamenta un Padomes 2021. gada 24. jūnija Regulas (ES) Nr. 2021/1058 par Eiropas Reģionālās attīstības fondu un Kohēzijas fondu 7. panta 1. punktā noteiktajām nozarēm un darbībām un kādu no šo noteikumu 2.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49. punkta apakšpunktos ir pārrakstīts Komisijas regulas Nr. 2023/2831 1. panta 1. punkts,  Eiropas Parlamenta un Padomes 2021. gada 24. jūnija Regulas (ES) Nr. 2021/1058 par Eiropas Reģionālās attīstības fondu un Kohēzijas fondu 7. panta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49. punktu un svītrot tā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nepiešķir darba devējam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Eiropas Parlamenta un Padomes 2021. gada 24. jūnija Regulas (ES) Nr. 2021/1058 par Eiropas Reģionālās attīstības fondu un Kohēzijas fondu 7. panta 1. punktā noteiktajām nozarēm un darbībām un kādu no šo noteikumu 2. pielikumā minētajām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nepiešķir darba devējam atbalstu, ja tas ir saistīts ar kādu no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50. punkta apakšpunktos ietvertais regulējums saturiski dublē noteikumu projketa 49. punktu. Pamatojoties uz iepriekš minēto, lūdzam izvērtēt, vai noteikumu projekta 50. punkta apakšpunktos ietvertais regulējums ir atbilstošs Ministru kabineta 2009. gada 3. februāra noteikumu Nr. 108 "Normatīvo aktu projektu sagatavošanas noteikumi" 3.3. apakšpunktam un saturiski nedublē citos noteikumu projekta punktos ietverto regulējumu.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darba devējs darbojas kādā no šo noteikumu </w:t>
            </w:r>
            <w:r w:rsidR="00000000" w:rsidRPr="00000000" w:rsidDel="00000000">
              <w:rPr>
                <w:rtl w:val="0"/>
              </w:rPr>
              <w:t xml:space="preserve">48. </w:t>
            </w:r>
            <w:r w:rsidR="00000000" w:rsidRPr="00000000" w:rsidDel="00000000">
              <w:rPr>
                <w:rtl w:val="0"/>
              </w:rPr>
              <w:t xml:space="preserve">punkt</w:t>
            </w:r>
            <w:r w:rsidR="00000000" w:rsidRPr="00000000" w:rsidDel="00000000">
              <w:rPr>
                <w:rtl w:val="0"/>
              </w:rPr>
              <w:t xml:space="preserve">ā minētajām neatbalstāmajām nozarēm vai veic neatbalstāmās darbības, atbalstu drīkst piešķirt tikai tad, ja tiek skaidri nodalītas atbalstāmās darbības un finanšu plūsmas, nodrošinot, ka darbības izslēgtajās nozarēs negūst labumu no pasākuma ietvaros piešķirtā pasākuma.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52. punktā ietvertais regulējums saturiski daļēji dublē noteikumu projekta 49. punktu. Pamatojoties uz iepriekš minēto, lūdzam izvērtēt, vai noteikumu projekta 52. punkta apakšpunktos ietvertais regulējums ir atbilstošs Ministru kabineta 2009. gada 3. februāra noteikumu Nr. 108 "Normatīvo aktu projektu sagatavošanas noteikumi" 3.3. apakšpunktam un saturiski nedublē citos noteikumu projekta punktos ietverto regulējumu.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41.20. nodrošināt, ka darba devējs iesniedz apliecinājumu, kur iekļauts, ka ir izstrādāta iekšējā kārtība, paredzot tiesības, jebkuram darbiniekam iespēju pieteikties mācībām, lai pilnveidotu prasmes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41.20. apakšpunktā ietvertais pienākums darba devējam izstrādāt iekšējo kārtību, paredzot tiesības, jebkuram darbiniekam iespēju pieteikties mācībām, lai pilnveidotu prasmes pienākumu veikšanai varētu tikt uzskatīts par lieku administratīvo slogu. Ņemot vērā minēto, lūdzam izvērtēt šāda regulējuma nepieciešamību un apakšpunktu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8.1.13. apakšpunktu, norādot visus apstrādājamos datu veidus, izvēlēta datu glabāšanas termiņa pamatojumu un kādā nolūkā dati tiks nodoti pēc pieprasījuma ministrijai un CFLA. Turklāt lūdzam izvērtēt minimizēšanas principa un glabāšanas ierobežojuma principa skaidrošanas nepieciešamību anotācijas 8.1.13.apakspunktā.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anotācijas 8.1.13. apakšpunktā norādīti apstrādājamie personas dati, proti, vārds, uzvārds un personas kods. Tomēr projekta noteikumi paredz plašāku personas datu kategoriju apstrādi. Piemēram, projekta noteikumu 41.2.2. un 41.2.3. punkts nosaka arī vecuma, dzimuma, darbības vai mācību nosaukuma, mācību sākuma un beigu datuma, darbinieka amata, izglītības līmeņa un profesijas klasifikatora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anotācijas 8.1.13. apakšpunktā ir norādīts datu glabāšanas termiņš, proti, 10 gadi, bet nav sniegts izvēlētā personas datu glabāšanas termiņa pamatojums. Turklāt arī Eiropas Parlamenta un Padomes 2021. gada 24. jūnija Regula (ES)  Nr. 2021/1057, ar  ko izveido Eiropas Sociālo fondu Plus un atceļ Regulu (ES) Nr. 1296/2013, Izglītības likums un Eiropas Savienības fondu 2021.–2027. gada plānošanas perioda vadības likums nesatur projekta anotācijas 8.1.13. apakšpunktā noteikto personas datu glabāšanas termiņu. Papildus norādām, ka personas datu glabāšanas ilgumam jābūt cieši saistītam ar nolūkiem, kādos tos apstrādā - zūdot datu apstrādes nolūkam, personas dati ir dzēšami.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regulas 5.pantā nostiprināto minimizēšanas principa un glabāšanas ierobežojuma principa skaidrošanai anotācijas 8.1.13. apakšpunktā ir deklaratīvs raksturs un, ņemot vērā, ka projekta anotācijā pēc principu skaidrošanas netiek norādīts, kā šie principi ir ievēroti projektā, lūdzam izvērtēt  principu skaidrošanas lietderību anotācijas 8.1.13.apakspunktā.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24.01.2024.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24.01.2024.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