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23-TA-1102: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4.3.6. specifiskā atbalsta mērķa "Veicināt nabadzības vai sociālās atstumtības riskam pakļauto cilvēku, tostarp vistrūcīgāko un bērnu, sociālo integrāciju" 4.3.6.7. pasākuma "Starpnozaru sadarbības un atbalsta sistēmas izveide bērnu veselīgai attīstībai un sekmīgai pašrealizācijai"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24.2.  informācijas uzkrāšanu, uzskaiti un iesniegšanu sadarbības iestādē apkopotus datus par sasniegtajiem rādītājiem atbilstoši Eiropas Parlamenta un Padomes 2021. gada 24. jūnija Regulas (ES) 2021/1057, ar ko izveido Eiropas Sociālo fondu Plus (ESF+) un atceļ Regulu (ES) Nr. 1296/2013, 1. un 2. pielikumam un Ministru kabineta 2023. gada 21. marta noteikumu Nr. 135 "Eiropas Savienības fondu projektu pārbaužu veikšanas kārtība 2021.–2027. gada plānošanas periodā" 1. pielikumam.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projekta 24.2. apakšpunkts un 24. punkts dublē viens otru, turklāt 24. punkts nav korekti veidots kā atsevišķs projekta punkts (tā ievaddaļa), attiecīgi nav arī skaidrs, kas ir projekta 24. punkta apakšpunktos ietverto pienākumu subjekts un kas tieši šim subjektam ir jādara. Attiecīgi lūdzam precizēt projekta 24.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Pasākuma īstenošanā iesaistītajām institūcijām ir tiesības pieprasīt un saņemt tiešu pieeju datiem valsts informācijas sistēmās un pieprasāmo datu apjomu, lai gūt pārliecību par mērķa grupas atbilstību.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pamatot personas datu apstrādes samērīgumu un skaidrot apstrādājamo datu apjomu, kā arī, ņemot vērā Fizisko personu datu apstrādes likuma 4. panta pirmās daļas 5. punktu, saskaņot projektu ar Datu valsts inspekciju. Paužam bažas, ka no projekta normas nav pilnīgi skaidrs, kas un kādus datus var pieprasīt un saņemt valsts informācijas sistēmās. Papildus lūdzam skaidrot, kas projekta 27. punktā domāts ar "pasākuma īstenošanā iesaistītajām institūcijām", kā arī "mērķa grupu". Normu arī nepieciešams precizēt, norādot, atbilstību </w:t>
            </w:r>
            <w:r w:rsidR="00000000" w:rsidRPr="00000000" w:rsidDel="00000000">
              <w:rPr>
                <w:u w:val="single"/>
                <w:rtl w:val="0"/>
              </w:rPr>
              <w:t xml:space="preserve">kam</w:t>
            </w:r>
            <w:r w:rsidR="00000000" w:rsidRPr="00000000" w:rsidDel="00000000">
              <w:rPr>
                <w:rtl w:val="0"/>
              </w:rPr>
              <w:t xml:space="preserve"> nepieciešams konstatēt (piemēram, atbilstību noteiktām noteikumu prasībām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saņēmējs ar sadarbības partneri slēdz attiecīgi sadarbības līgumu vai vienošanos par sadarbību (turpmāk – sadarbības līgums) atbilstoši normatīvajam aktam par kārtību, kādā Eiropas Savienības fondu vadībā iesaistītās institūcijas nodrošina šo fondu ieviešanu 2021.-2027. gada plānošanas periodā.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labot neuzmanības kļūdu, norādot tiesību normas subjektu projekta 14. punktā (proti, "Finansējuma saņēmējs"). Līdzīgi aicinām precizēt arī, piemēram, projekta 11.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 tiešās attiecināmās personāla atlīdzības izmaksas, kuras ir šo noteikumu 17.17. apakšpunktā minētās atbalstāmās darbības attiecināmās izmaksas saskaņā ar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(turpmāk – Regula Nr. 2021/1060), 55. panta 1. punktu projekta iesniegumā plāno kā vienu izmaksu pozīciju, piemērojot izmaksu vienoto likmi 19 procentu apmērā no pārējām šo noteikumu 18.2. apakšpunktā minētajām pārējām projekta tiešajām attiecināmajām īstenošanas izmaksām. Minētās atbalstāmās darbības ietvaros ir attiecināmas finansējuma saņēmēja projekta vadības personāla un īstenošanas personāla atlīdzības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projektā atsauces uz Eiropas Savienības tiesību aktiem noformēt atbilstoši Ministru kabineta 2009. gada 3. februāra noteikumu Nr. 108 „Normatīvo aktu projektu sagatavošanas noteikumi” 170.-172. punktam (proti, piemēram, 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Turklāt aicinām, izveidojot saīsinājumu, to konsekventi un korekti lietot arī turpmāk tekstā.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anotācijas 5.4. sadaļas 1. tabulā norādītās projekta vienības, kurās ieviestas Eiropas Parlamenta un Padomes 2021. gada 24. jūnija Regulas (ES) Nr.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vienības. Aicinām arī ietvert tabulā informāciju par tabulā neminētās regulas vienības ieviešanu projektā (sk. projekta 23.7. apakšpunktu). Papildus aicinām norādīt konkrētu Eiropas Parlamenta un Padomes 2021. gada 24. jūnija Regulas (ES) 2021/1057, ar ko izveido Eiropas Sociālo fondu Plus (ESF+) un atceļ Regulu (ES) Nr. 1296/2013 vienību un projekta vienību, kurā minētās regulas vienība ieviesta (sk. projekta 24. punktu (24.2. apakšpunktu)).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Renāte Luīze Cietvīra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03.08.2023. 20.48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23-TA-1102</w:t>
    </w:r>
    <w:r>
      <w:br/>
    </w:r>
    <w:r w:rsidR="00000000" w:rsidRPr="00000000" w:rsidDel="00000000">
      <w:rPr>
        <w:rtl w:val="0"/>
      </w:rPr>
      <w:t xml:space="preserve">Izdrukāts 03.08.2023. 20.48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Atzinumi_23-TA-1102.docx</dc:title>
</cp:coreProperties>
</file>

<file path=docProps/custom.xml><?xml version="1.0" encoding="utf-8"?>
<Properties xmlns="http://schemas.openxmlformats.org/officeDocument/2006/custom-properties" xmlns:vt="http://schemas.openxmlformats.org/officeDocument/2006/docPropsVTypes"/>
</file>