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21-TA-1144: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1. komponentes "Klimata pārmaiņas un vides ilgtspēja" 1.1. reformu un investīciju virziena "Emisiju samazināšana transporta sektorā" 1.1.1.r. reformas "Rīgas metropoles areāla transporta sistēmas zaļināšana" 1.1.1.2.i. investīcijas "Videi draudzīgi uzlabojumi Rīgas valstspilsētas sabiedriskā transporta sistēmā" 1.1.1.2.i.1. pasākuma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izmaksas ir attiecināmas, ja atbalstāmās darbības līguma noslēgšanas brīdī nav pabeigtas un izmaksas atbilst šajos noteikumos minētajām izmaksu pozīcijām un ir radušās no līguma noslēgšanas brīža, izņemot šo noteikumu </w:t>
            </w:r>
            <w:r w:rsidR="00000000" w:rsidRPr="00000000" w:rsidDel="00000000">
              <w:rPr>
                <w:rtl w:val="0"/>
              </w:rPr>
              <w:t xml:space="preserve">13.1. </w:t>
            </w:r>
            <w:r w:rsidR="00000000" w:rsidRPr="00000000" w:rsidDel="00000000">
              <w:rPr>
                <w:rtl w:val="0"/>
              </w:rPr>
              <w:t xml:space="preserve">apakšpunktā</w:t>
            </w:r>
            <w:r w:rsidR="00000000" w:rsidRPr="00000000" w:rsidDel="00000000">
              <w:rPr>
                <w:rtl w:val="0"/>
              </w:rPr>
              <w:t xml:space="preserve"> minētās izmaksas, kas ir attiecināmas no 2020. gada 1. februāra.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šobrīd normā ietvertie nosacījumi ir savstarpēji pretrunīgi, t.i., norma skaidro, ka projekta izmaksas ir attiecināmas, ja projekta atbalstāmās darbības līguma noslēgšanas brīdī nav pabeigtas un vienlaikus nosaka, ka izmaksām ir jābūt tādām, kas radušās no līguma noslēgšanas brīža. Lūdzam precizēt normas redakciju, lai novērstu konstatēto pretrunu. Vienlaikus lūdzam precizēt un papildināt anotāciju ar skaidrojumu, ka MK noteikumu projekta ietvertās darbības ir tādas, kas ietvertas finansējuma saņēmēja investīciju plānos iekļauto projektu ietvaros un tādējādi atbilst MK noteikumu 9.punktā minētajam sabiedriskā transporta pakalpojumu sniegšanas līgumam.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Par komercdarbības atbalsta piešķiršanas dienu ir uzskatāma diena, kad Aģentūra ir noslēgusi līgumu.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spēkā iepriekš izteikto iebildumu un atkārtoti skaidrojam, ka atbilstoši noteikumu projekta 26.punktam, projekta iesniedzēja atbilstību komercdarbības atbalsta nosacījumiem vērtē ministrija, līdz ar to par atbalsta piešķiršanas brīdi ir uzskatāms brīdis, kad ministrija ir izvērtējusi projekta iesniedzēja atbilstību komercdarbības nosacījumiem, to fiksējot attiecīgā dokumentā. Papildus vēršam uzmanību, ka ministrijas lēmums var būt noformēts kā lēmums, atzinums, vēstule vai cita veida juridisks dokuments. Savukārt līgums par projekta īstenošanu, ko slēdz CFLA un finansējuma saņēmējs, faktiski paredz projekta īstenošanas un maksājumu veikšanas kārtību, uz līguma slēgšanas brīdi CFLA neveiks komercdarbības atbalsta nosacījumu pārbaudi, jo to būs veikusi ministrija. Līdz ar to nav loģiski par atbalsta piešķiršanas brīdi noteikt līguma noslēgšanu, jo faktiski atbalsta piešķīrējs būs ministrija.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Komercdarbības atbalsta kontroles likuma 1.panta otrās daļas 4.punktu atbalsta sniedzējs ir valsts vai pašvaldības institūcija vai tās pilnvarota juridiskā persona, kura pieņem lēmumu par komercdarbības atbalsta piešķiršanu vai kura ir atbildīga par atbalsta programmas izstrādi vai atbalsta programmas vai individuālā atbalsta projekta piemērošanu. Atbilstoši Ministru kabineta 2021. gada 7. septembra noteikumiem Nr. 621 “Eiropas Savienības Atveseļošanas un noturības mehānisma plāna īstenošanas un uzraudzības kārtība”, CFLA piešķir komercdarbības atbalstu un uzrauga komercdarbības atbalsta nosacījumus tikai atklātās atlasēs, taču noteikumu projekts neparedz atklātu atlasi. Ņemot vērā, ka normatīvajā aktā ir skaidri noteikta CFLA kompetence, proti, CFLA piešķir komercdarbības atbalstu tikai atklātās atlasēs, tiesību normu piemērošana pēc analoģijas nav piemērojama. Turklāt atbalsta sniedzējs var būt institūcija, kas izstrādā atbalsta programmu vai kas ir atbildīga par atbalsta programmas vai individuālā atbalsta projekta piemērošanu. Atkārtoti lūdzam precizēt noteikumu 40.punktu un precizēt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Grantiņa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kopējais rādītājs saskaņā ar Komisijas 2021. gada 28. septembra Deleģētās regulas Nr. 2021/2106, ar kuru, nosakot Atveseļošanas un noturības rezultātu pārskata kopējos rādītājus un detalizētos elementus, papildina Eiropas Parlamenta un Padomes Regulu ES 2021/241, ar ko izveido Atveseļošanas un noturības mehānismu (turpmāk – Regula Nr.2021/241), pielikumā “Kopējo rādītāju saraksts” noteikto kopējo rādītāju Nr.3.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noteikumu projekta 5.3. apakšpunktā Regulas Nr.2021/241 pieņemšanas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revidenta vai iekšējā auditora (turpmāk – revidents) piesaistes izmaksas, lai apliecinātu izmaksu pamatotību un mērķa sasniegšanu. Minētās izmaksas ietver revidenta atzinumu par projekta darbību, mērķu sasniegšanu, maksājuma pieprasījumu izmaksu pamatotību, interešu konflikta, korupcijas un krāpšanas novēršanas nosacījumu ievērošanu projektā un dubultā finansējuma riska izslēgšanu (turpmāk – revidenta atzinums).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vārdu “neatkarīga” pirms vārda “revidenta”. Vēršam uzmanību, ka atbilstoši FM vadlīnijā nr.1 “Vadlīnijas informatīvā ziņojuma vai Ministru kabineta noteikumu izstrādei par Eiropas Savienības Atveseļošanas un noturības mehānisma plāna reformas vai investīcijas ieviešanu” 22. punktam finansēšanai no AF finansējuma ir attiecināmas </w:t>
            </w:r>
            <w:r w:rsidR="00000000" w:rsidRPr="00000000" w:rsidDel="00000000">
              <w:rPr>
                <w:u w:val="single"/>
                <w:rtl w:val="0"/>
              </w:rPr>
              <w:t xml:space="preserve">neatkarīga revidenta</w:t>
            </w:r>
            <w:r w:rsidR="00000000" w:rsidRPr="00000000" w:rsidDel="00000000">
              <w:rPr>
                <w:rtl w:val="0"/>
              </w:rPr>
              <w:t xml:space="preserve">/ iekšējā audita izmaksas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 Valsts ieņēmumu dienesta administrēto nodokļu (nodevu) parādnieku datubāzēs par finansējuma saņēmēja nodokļu vai nodevu parādu, izņemot nodokļu maksājumus, kuru segšanai ir piešķirts samaksas termiņa pagarinājums.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27.2. apakšpunktu ar vārdiem ",kas kopsummā pārsniedz 150 euro" aiz vārda "parādu".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Atbalstīt investīcijas īstenošanai nepieciešamo priekšfinansējumu avansa un starpposma izmaksu līdz 21 843 000 </w:t>
            </w:r>
            <w:r w:rsidR="00000000" w:rsidRPr="00000000" w:rsidDel="00000000">
              <w:rPr>
                <w:i w:val="1"/>
                <w:rtl w:val="0"/>
              </w:rPr>
              <w:t xml:space="preserve">euro</w:t>
            </w:r>
            <w:r w:rsidR="00000000" w:rsidRPr="00000000" w:rsidDel="00000000">
              <w:rPr>
                <w:rtl w:val="0"/>
              </w:rPr>
              <w:t xml:space="preserve"> apmērā segšanai no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MK protokollēmuma 4. un 5.punktā vārdus "priekšfinansējums" ar vārdu "finansējums", ņemot vērā, ka atbilstoši  noteikumu projektam tiek paredzēti avansa un starpposma maksājumi, nevis valsts budžeta priekšfinansējums. Lūdzam attiecīgu precizējumu veikt arī anotācijas tekstā, kur tiek minēts "priekšfinansējums".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23.01.2023.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23.01.2023.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Atzinumi_21-TA-1144.docx</dc:title>
</cp:coreProperties>
</file>

<file path=docProps/custom.xml><?xml version="1.0" encoding="utf-8"?>
<Properties xmlns="http://schemas.openxmlformats.org/officeDocument/2006/custom-properties" xmlns:vt="http://schemas.openxmlformats.org/officeDocument/2006/docPropsVTypes"/>
</file>