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23-TA-485: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Digitālā kultūras mantojuma platformas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(viedoklu_parskats_23-TA-485)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27.1. minimālās prasības kultūras mantojuma digitālā objekta datņu un metadatu ievadei platformas koplietošanas informācijas sistēmās;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 noteikumu projektā ietvertās informācijas nav saprotams, bet datu (kas satur vietu, adresi) tālākai apstrādei būtiskas arī adreses koordinātes. Būtiski to ietvert datos.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 noteikumu projektā ietvertās informācijas nav saprotams, bet datu (kas satur vietu, adresi) tālākai apstrādei būtiskas arī adreses koordinātes. Būtiski to ietvert datos.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Baiba Zukula (CSP)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23-TA-485</w:t>
    </w:r>
    <w:r>
      <w:br/>
    </w:r>
    <w:r w:rsidR="00000000" w:rsidRPr="00000000" w:rsidDel="00000000">
      <w:rPr>
        <w:rtl w:val="0"/>
      </w:rPr>
      <w:t xml:space="preserve">Izdrukāts 16.04.2024. 00.05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23-TA-485</w:t>
    </w:r>
    <w:r>
      <w:br/>
    </w:r>
    <w:r w:rsidR="00000000" w:rsidRPr="00000000" w:rsidDel="00000000">
      <w:rPr>
        <w:rtl w:val="0"/>
      </w:rPr>
      <w:t xml:space="preserve">Izdrukāts 16.04.2024. 00.05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