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w:t>
            </w:r>
            <w:r w:rsidR="00000000" w:rsidRPr="00000000" w:rsidDel="00000000">
              <w:rPr>
                <w:vertAlign w:val="superscript"/>
                <w:rtl w:val="0"/>
              </w:rPr>
              <w:t xml:space="preserve">1</w:t>
            </w:r>
            <w:r w:rsidR="00000000" w:rsidRPr="00000000" w:rsidDel="00000000">
              <w:rPr>
                <w:rtl w:val="0"/>
              </w:rPr>
              <w:t xml:space="preserve"> pants.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faktiskais valdītājs iekārtu reģistrā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pirmreizējo reģistrāciju,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 uz iekārtu reģistra izveides brīdi atrodas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 saņemta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iekārta izgatavota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izmaiņu reģistrāciju, ja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iekārtas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iekārtas atrašanās vietas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personas, kas reģistrējusi iekārtu,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izslēgšanu no iekārtu reģistra, ja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izved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iznīcina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iekārtu reģistram un iestādes, kurām piešķiramas piekļuves tiesības iekārtu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 persona informē iekārtu reģistra turētāju, ja iekārtu reģistrā reģistrēta iekārta nonāk publiskas personas rīcībā, to atdod atpakaļ reģistrā reģistrētam valdītājam vai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Konfiscētās iekārtas 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Regulējums par reģistrāciju līdzvērtīgi attiecināms uz visām publiskās personas rīcībā esošām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atzinumu, grozāmā likuma 8.</w:t>
            </w:r>
            <w:r w:rsidR="00000000" w:rsidRPr="00000000" w:rsidDel="00000000">
              <w:rPr>
                <w:vertAlign w:val="superscript"/>
                <w:rtl w:val="0"/>
              </w:rPr>
              <w:t xml:space="preserve">1</w:t>
            </w:r>
            <w:r w:rsidR="00000000" w:rsidRPr="00000000" w:rsidDel="00000000">
              <w:rPr>
                <w:rtl w:val="0"/>
              </w:rPr>
              <w:t xml:space="preserve"> panta septītajā daļā ir paredzēts, ka publiska persona informē iekārtu reģistra turētāju, ja iekārtu reģistrā reģistrēta iekārta nonāk publiskas personas rīcībā, to atdod atpakaļ reģistrā reģistrētam valdītājam vai iznīcina. Tomēr šā panta sestajā daļā ir joprojām saglabāts detalizēts uzskaitījums par iekārtu veidiem, kam nav saskatāms pamats. Izņēmums no reģistrācijas prasībām būtu attiecināms uz visām iekārtām, kas nav reģistrētas iekārtu reģistrā un kuras ir publiskas personas rīcībā, tostarp arī uz uzskaitījumā konkrēti minētajām iekārtām, bet ne tikai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12.02.2026.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12.02.2026.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