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saņemot informāciju no elektronisko veselības datu lietotāja par konstatētu atradi, kas varētu negatīvi ietekmēt kādas fiziskas personas veselību vai dzīvību, par to informē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kā  CSP veic darbības, kam pēc būtības ir ārstniecisks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elektronisko veselības datu pieprasītāja plānotais apstrādes nolūks atbilst kādam no šā panta pirmās daļas 1., 2., vai 3.punktā minētajiem nolūkiem, piekļuvi elektroniskajiem veselības datiem piešķir valsts institūcijām un privātpersonām, kuras veic valsts institūciju uzdotos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nesaprotams. Kāpēc tas netiek attiecināts uz pirmās daļas 4.? Tāpat lūdzam anotācijā skaidrot, kas tiek saprasts ar valsts institūciju, jo Valsts pārvaldes iekārtas likumā šāds vārdu savienojums nav definēts. Un kas notiek pašvaldību institūciju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07.08.2025.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07.08.2025.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