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5. novembra noteikumos Nr. 701 "Modernizācijas fonda finansēto projektu atklāta konkursa "Energoefektivitātes paaugstināšana transporta sektorā – atbalsts elektromobiļu un to uzlādes infrastruktūras ieviešanai"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novembra noteikumos Nr. 701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izskatījusi KEM sagatavoto tiesību akta projektu un izsaka sekojošu priekšlikumu: Ierosinām izvērtēt iespēju paredzēt teritoriāli diferencētus atbalsta nosacījumus, nosakot, ka atsevišķās teritorijās, ņemot vērā to atšķirīgos sociālekonomiskos rādītājus, piemērojami diferencēti – attiecīgajai teritorijai labvēlīgāki – kritēriji un nosacījumi, piemēram, Austrumu pierobežai.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Ozdemira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novembra noteikumos Nr. 701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rosina papildināt MK noteikumu Nr.701 regulējumu (pievienojot jaunu MK noteikumu punktu) ar uzskaitījumu, ko šo noteikumu izpratnē uzskata par papildinošo saimniecisko darbību projektos, kur projekta iesniedzējs ir pašvaldība vai tiešās pārvaldes iestāde un finansējums tiek piešķirts, lai nodrošinātu pārvaldes funkciju un pārvaldes uzdevumu, tostarp pašvaldības autonomo funkciju, īstenošanu. Šāds precizējums, tostarp norādot konkrētus piemērus, kādos gadījumos elektromobiļu izmantošana ir uzskatāma par papildinošo saimniecisko darbību, veicinātu pašvaldību izpratni par elektromobiļu praktiskās izmantošanas iespējām, mazinātu interpretācijas riskus un vienlaikus varētu palielināt pašvaldību interesi par dalību konkursā, ņemot vērā skaidrāku priekšstatu par transportlīdzekļu praktisko lietojamību un papildu ieguvumiem. Kā arī ir būtiski, ka MK noteikumu Nr. 701 26. punktā minētie metodiskie norādījumi par papildinošas saimnieciskās darbības uzraudzību tiek izstrādāti un ir pieejami pašvaldībām savlaicīgi (proti, visiem nosacījumiem projektu iesniedzējiem ir jābūt zināmiem pirms projekta pieteikuma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Kļava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novembra noteikumos Nr. 701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iepirkumu centralizāciju pašvaldībās, VARAM rosina papildināt MK noteikumu Nr. 701 89. punktu ar normu, kas paredz iespēju pašvaldībām projekta ietvaros nepieciešamos iepirkumus veikt arī centralizēti, tostarp izmantojot centralizēto iepirkumu institūciju vai pašvaldību pārstāvošo organizāciju starpniecību, kā arī izvērtēt iespēju izstrādāt rekomendējošas vienotas tehniskās specifikācijas atbilstoši transportlīdzekļu kategorijām. Šāds risinājums, ņemot vērā Valsts kontroles 2026. gada 12. februārī publicētās lietderības revīzijas  Nr.2.4.1–63/2024 “Klimata mērķu sasniegšana transporta nozarē” starpziņojumā “Vai pašvaldību elektroautobusu pasākums īstenots lietderīgi?” ietvertos secinājumus par līdzīgu pasākumu īstenošanu, varētu mazināt administratīvo slogu pašvaldībām, veicināt efektīvāku publisko līdzekļu izmantošanu un vienlīdzīgu konkurenci, kā arī stiprināt pašvaldību kapacitāti.  Vienlaikus, ņemot vērā publiski pieejamo informāciju par salīdzinoši zemu pašvaldību aktivitāti šajā pasākumā (iesniegti tikai četri projekti no pašvaldībām un tiešās pārvaldes iestādēm), šāds regulējuma precizējums varētu palielināt pašvaldību interesi par dalību konkursā, vienlaikus saglabājot nepieciešamo elastību atbilstoši to individuālajām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Kļava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Modernizācijas fonda finansēto projektu atklāta konkursa “Energoefektivitātes paaugstināšana transporta sektorā – atbalsts elektromobiļu un to uzlādes infrastruktūras ieviešanai” trešās kārtas projekta iesnieguma veidlapas (1.</w:t>
            </w:r>
            <w:r w:rsidR="00000000" w:rsidRPr="00000000" w:rsidDel="00000000">
              <w:rPr>
                <w:vertAlign w:val="superscript"/>
                <w:rtl w:val="0"/>
              </w:rPr>
              <w:t xml:space="preserve">1 </w:t>
            </w:r>
            <w:r w:rsidR="00000000" w:rsidRPr="00000000" w:rsidDel="00000000">
              <w:rPr>
                <w:rtl w:val="0"/>
              </w:rPr>
              <w:t xml:space="preserve">pielikums)  2.1. sadaļas “Elektromobiļu iegāde vai līzings” 4. parametra datu norādes veidu, piemēram, paredzot atbildes formātu “Jā/Nē”, līdzīgi kā tas noteikts 3. un 5. parametrā, nepārprotamas skaidrības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Kļava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30.03.2026.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30.03.2026.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Atzinumi_25-TA-2357.docx</dc:title>
</cp:coreProperties>
</file>

<file path=docProps/custom.xml><?xml version="1.0" encoding="utf-8"?>
<Properties xmlns="http://schemas.openxmlformats.org/officeDocument/2006/custom-properties" xmlns:vt="http://schemas.openxmlformats.org/officeDocument/2006/docPropsVTypes"/>
</file>