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vadībā iesaistītās institūcijas nodrošina šo fondu ieviešanu 2021.–2027.gada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28.12.2022.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28.12.2022.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