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Izglītības kvalitātes padomes darbības funkcijas, tiesisko ietvaru un darbības ietvaros sasniedzamos rezultātus. Vēršam uzmanību, ka iekšējā līmenī darbība būtu veicama paša resora valsts pārvaldes līmenī, savukārt, paredzot ārējā darbības līmenī nevalstisko sektoru, būtu nepieciešams precizēt gan iesaistīto organizāciju loku, gan uzdevumus, lai mazinātu birokrātisku un administratīvu darbību apjomu, ko iespējams īstenot ar alternatīviem, jau šobrīd esošiem sadarbības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iebilst un aicina pārskatīt finansējuma pārdali, kas saistīta ar faktiskiem gala labuma saņēmējiem - bērniem un izglītības iestādēm, šajos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- 4.2.3.2.pasākuma “Interešu izglītības, brīvā laika un bērnu pieskatīšanas pakalpojumu pieejamības paplašināšana sociālās atstumtības riskam pakļautiem izglītojamajiem un bērniem ar speciālām vajadzībām” - 11 870 693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4.2.2.2.pasākuma "Kvalitatīvas un mūsdienīgas izglītības īstenošana pamata un vidējās izglītības pakāpē" - 2 610 672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4.2.1.5.pasākuma "Izglītības iestāžu nodrošinājums pilnveidotā vispārējās izglītības satura kvalitatīvai ieviešanai pamata un vidējās izglītības pakāpē" 2. kārtas - 426 983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vienojies par trīspusēju sarunu īstenošanu par ierosinātajām pārdalēm, līdz ar to gala lēmumi attiecībā uz to īstenošanu būtu pieņemami pēc šo sarunu īstenošanas vai kopīgas vienošanās panākšanas par papildu investīciju vajadzībām.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detalizētu informāciju par IKMS rīku esošo situāciju (izstrādes stadiju - koncepts, prototips, esoša / aprobēta sistēma / IT rīks) ar norādi par turpmākām investīcijām, kas konrēto rīku attīstībā tiks veiktas. Aicinām papildināt ar datos balstītu pamatojumu par to esošo pielietojamību izglītības kvalitātes monitoringā pašvaldībā.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detalizētu skaidrojumu par plānotajām investīcijām datu uzkrāšanas nodrošināšanai un koncepta "skola kā mācīšanās organizācija" attīstībā, plānoto datu kopām un to pielietojamību nacionālā vai pašvaldību mērogā.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21.11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21.11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