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3. februāra noteikumos Nr. 108 "Normatīvo aktu projektu sagatavošanas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aktualizēt anotācijas 6.sadaļā atsauci uz Ministru kabineta </w:t>
            </w:r>
            <w:r w:rsidR="00000000" w:rsidRPr="00000000" w:rsidDel="00000000">
              <w:rPr>
                <w:u w:val="single"/>
                <w:rtl w:val="0"/>
              </w:rPr>
              <w:t xml:space="preserve">2024.gada 15.oktobra noteikumiem Nr.639 </w:t>
            </w:r>
            <w:r w:rsidR="00000000" w:rsidRPr="00000000" w:rsidDel="00000000">
              <w:rPr>
                <w:rtl w:val="0"/>
              </w:rPr>
              <w:t xml:space="preserve">"Sabiedrības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Atsauces uz Eiropas Savienības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finanšu jomas regulās, ar kurām tiek grozītas direktīvas, tiek ietverta norma par direktīvu transponēšanu (“Kad dalībvalstis pieņem minētos noteikumus, tajos ietver atsauci uz šo regulu vai arī šādu atsauci pievieno to oficiālajai publikācijai”),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2022. gada 19. oktobra regulas (ES) 2022/2036, ar ko groza regulu (ES) Nr. 575/2013 un direktīvu 2014/59/ES attiecībā uz prudenciālo režīmu globālām sistēmiski nozīmīgām iestādēm ar noregulējuma stratēģiju ar vairākām noregulējuma iestādēm un metodēm attiecībā uz netiešu parakstīšanos uz instrumentiem, kas ir atbilstīgi, lai izpildītu minimuma prasību pašu kapitālam un atbilstīgajām saistībām,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2024. gada 13. marta regulas (ES) Nr. 2024/886, ar ko groza regulas (ES) Nr. 260/2012 un (ES) 2021/1230 un direktīvas 98/26/EK un (ES) 2015/2366 attiecībā uz tūlītējiem kredīta pārvedumiem </w:t>
            </w:r>
            <w:r w:rsidR="00000000" w:rsidRPr="00000000" w:rsidDel="00000000">
              <w:rPr>
                <w:i w:val="1"/>
                <w:rtl w:val="0"/>
              </w:rPr>
              <w:t xml:space="preserve">euro</w:t>
            </w:r>
            <w:r w:rsidR="00000000" w:rsidRPr="00000000" w:rsidDel="00000000">
              <w:rPr>
                <w:rtl w:val="0"/>
              </w:rPr>
              <w:t xml:space="preserve">, 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direktīvas grozījumi tiek veikti ar regulu, tie attiecas uz direktīvu un nav tieši piemērojami. Tādēļ šādi direktīvas grozījumi ir jātransponē nacionālajā tiesību sistēmā tādā pašā kārtībā, kā tas tiek darīts ar direktīvu normām. Turklāt grozījumi ir arī notificējami THEMIS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izstrādāts risinājums – regulas, kas groza direktīvas, tiek iekļautas likumu informatīvajās atsaucēs uz Eiropas Savienības direktīvām analoģiski tam, kā tiek norādītas informatīvās atsauces uz direktīvām,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Kredītiestāžu un ieguldījumu brokeru sabiedrību darbības atjaunošanas un noregulējuma likuma informatīvas atsauces uz Eiropas Savienības direktīvām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norēķinu galīgumu maksājumu un finanšu instrumentu norēķinu sistēmās” informatīvas atsauces uz Eiropas Savienības direktīvām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pakalpojumu un elektroniskās naudas likuma informatīvas atsauces uz Eiropas Savienības direktīvām 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Eiropas Savienības regulu prasību par grozīto direktīvu transponēšanu izpildei, izsakām priekšlikumu ietvert atbilstošu regulējumu noteikumu 4. nodaļā “Atsauces uz Eiropas Savienības tiesību aktiem” par to, kā veido atsauci uz Eiropas Savienības regulām, kas groza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iespējamo risinājumu piedāvājam papildināt noteikumu 4. nodaļas 162.1. apakšpunktu šādā redakcijā: "162.1. informatīvas atsauces uz Eiropas Savienības direktīvām</w:t>
            </w:r>
            <w:r w:rsidR="00000000" w:rsidRPr="00000000" w:rsidDel="00000000">
              <w:rPr>
                <w:u w:val="single"/>
                <w:rtl w:val="0"/>
              </w:rPr>
              <w:t xml:space="preserve"> un regulām, ar ko groza direktīvas</w:t>
            </w:r>
            <w:r w:rsidR="00000000" w:rsidRPr="00000000" w:rsidDel="00000000">
              <w:rPr>
                <w:rtl w:val="0"/>
              </w:rPr>
              <w:t xml:space="preserve">, ja likumprojektā vai noteikumu projektā ir iekļautas tiesību normas, kas pārņem Eiropas Savienības direktīvas prasības;" vai arī papildināt nodaļu ar jaunu 162.3. apakšpunktu šādā redakcijā: “</w:t>
            </w:r>
            <w:r w:rsidR="00000000" w:rsidRPr="00000000" w:rsidDel="00000000">
              <w:rPr>
                <w:u w:val="single"/>
                <w:rtl w:val="0"/>
              </w:rPr>
              <w:t xml:space="preserve">162.3. informatīvas atsauces uz Eiropas Savienības regulām, ar ko groza direktīvas, ja likumprojektā vai noteikumu projektā ir iekļautas tiesību normas, kas pārņem Eiropas Savienības direktīvas prasības</w:t>
            </w:r>
            <w:r w:rsidR="00000000" w:rsidRPr="00000000" w:rsidDel="00000000">
              <w:rPr>
                <w:rtl w:val="0"/>
              </w:rPr>
              <w:t xml:space="preserve">”, atbilstoši precizējot arī turpmākos noteikumu punktus. Piedāvātie grozījumi nodrošinātu juridisko noteiktību un atbilstību Eiropas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Kokina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14.08.2025.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14.08.2025.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Atzinumi_23-TA-767.docx</dc:title>
</cp:coreProperties>
</file>

<file path=docProps/custom.xml><?xml version="1.0" encoding="utf-8"?>
<Properties xmlns="http://schemas.openxmlformats.org/officeDocument/2006/custom-properties" xmlns:vt="http://schemas.openxmlformats.org/officeDocument/2006/docPropsVTypes"/>
</file>