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izmaksas finansējuma saņēmējam iespējams segt divos veidos – pirmkārt, ar de minimis atbalstu saskaņā ar Eiropas Komisijas 2013.gada 18.decembra Regulas (ES) Nr.1407/2013 par Līguma par Eiropas Savienības darbību 107. un 108.panta piemērošanu de minimis atbalstam, uzskaitot atbalstu uz finansējuma saņēmēju, un, otrs variants, ja finansējuma saņēmējs nodrošina projekta vadību kā ārpakalpojumu. Gadījumā, ja finansējuma saņēmējs nodrošina projekta vadību kā ārpakalpojumu, kurš tiek nodrošināts atbilstoši nacionālajam regulējumam publisko iepirkumu jomā, tad tas netiek uzskatīts par valsts atbalstu finansējuma saņēmējam, vienlaikus ir jāpārliecinās, ka viss labums tiek nodots ārpakalpojuma sniedzējam un Finansējuma saņēmēja saimnieciskā darbība no atbalsta negūst nekādu labumu, t.i., finansējuma saņēmējs ir tikai starpnieks, kas nodot projekta vadības izmaksām paredzēto finansējumu tālāk un tieši tādā apmērā. Lūdzam šo pieeju atspoguļot korekti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 komersantu skaits, kuros ir nodrošināta digitālo pamatprasmju apguve līdz 2023. gada 31. decembrim, – 450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ir iespējama noteikumu projekta 9.2.1.apakšpunktā noteiktā rādītāja sasniegšana līdz šī gada beigām, ņemot vērā, ka vēl nav uzsākta projektu iesniegumu iesniegšana. Attiecīgi lūdzam svītrot minēto apakšpunktu un anotācijas 1.3.sadaļā sniegt skaidrojumu par šī rādītāja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38.2.7.5. Eiropas digitālās inovācijas centra tiešsaistes platformu abonementu un licences iegādes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gala labuma guvējiem tiešsaistes platformu abonementa izmaksas jau tiek attiecinātas MK noteikumu projekta 38.2.2.apakšpunktā, lūdzam svītrot MK noteikumu projekta 38.2.7.5.apakšpunktu, lai novērstu izmaksu dublēšanos, kā arī iespēju finansēt vienas un tās pašas izmaksas divas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44.1.1. apmācību kursu izmaksas, kas ir tieši saistītas ar apmācību projektu, atbilst Komisijas regulas Nr.</w:t>
            </w:r>
            <w:r w:rsidR="00000000" w:rsidRPr="00000000" w:rsidDel="00000000">
              <w:rPr>
                <w:rtl w:val="0"/>
              </w:rPr>
              <w:t xml:space="preserve">651/2014</w:t>
            </w:r>
            <w:r w:rsidR="00000000" w:rsidRPr="00000000" w:rsidDel="00000000">
              <w:rPr>
                <w:rtl w:val="0"/>
              </w:rPr>
              <w:t xml:space="preserve"> 31. panta 3. punktam: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teksta un anotācijas ir skaidrs, ka finansējuma saņēmējs (biedrība) otrās kārtas ietvaros pats ir de minimis atbalsta saņēmējs, kā arī biedrība saskaņā ar noteikumu 82.punktu ir atbalsta sniedzējs gala labuma guvējam vai nu ar Komisijas regulu Nr.1407/2013, vai nu ar Komisijas regulu Nr.651/2014. Attiecīgi lūdzam šo punktu svītrot un izmaksas, kas attiecināmas uz gala labuma guvēju pārnest zem noteikumu 44.2.apakšpunkta.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23-TA-2364</w:t>
    </w:r>
    <w:r>
      <w:br/>
    </w:r>
    <w:r w:rsidR="00000000" w:rsidRPr="00000000" w:rsidDel="00000000">
      <w:rPr>
        <w:rtl w:val="0"/>
      </w:rPr>
      <w:t xml:space="preserve">Izdrukāts 29.11.2023. 22.56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23-TA-2364</w:t>
    </w:r>
    <w:r>
      <w:br/>
    </w:r>
    <w:r w:rsidR="00000000" w:rsidRPr="00000000" w:rsidDel="00000000">
      <w:rPr>
        <w:rtl w:val="0"/>
      </w:rPr>
      <w:t xml:space="preserve">Izdrukāts 29.11.2023. 22.56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Atzinumi_23-TA-2364.docx</dc:title>
</cp:coreProperties>
</file>

<file path=docProps/custom.xml><?xml version="1.0" encoding="utf-8"?>
<Properties xmlns="http://schemas.openxmlformats.org/officeDocument/2006/custom-properties" xmlns:vt="http://schemas.openxmlformats.org/officeDocument/2006/docPropsVTypes"/>
</file>