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286 846 </w:t>
            </w:r>
            <w:r w:rsidR="00000000" w:rsidRPr="00000000" w:rsidDel="00000000">
              <w:rPr>
                <w:i w:val="1"/>
                <w:rtl w:val="0"/>
              </w:rPr>
              <w:t xml:space="preserve">euro </w:t>
            </w:r>
            <w:r w:rsidR="00000000" w:rsidRPr="00000000" w:rsidDel="00000000">
              <w:rPr>
                <w:rtl w:val="0"/>
              </w:rPr>
              <w:t xml:space="preserve">apmērā pārdalīt no Finanšu ministrijas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"Mācīšanās un attīstības sistēmas ieviešana" īstenošanas līguma noslēgšanas starp Valsts administrācijas skolu, Vides aizsardzības un reģionālās attīstības ministriju un Valsts kanceleju projekta realizācijai nepieciešamo valsts budžeta priekšfinansējumu 1 680 000 euro apmērā un finansējumu pievienotās vērtības nodokļa segšanai ne vairāk kā 286 846 euro apmērā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03.04.2023.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03.04.2023.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