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64.panta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daļu, </w:t>
            </w:r>
            <w:r w:rsidR="00000000" w:rsidRPr="00000000" w:rsidDel="00000000">
              <w:rPr>
                <w:rtl w:val="0"/>
              </w:rPr>
              <w:t xml:space="preserve">Mobilizācijas likuma</w:t>
            </w:r>
            <w:r w:rsidR="00000000" w:rsidRPr="00000000" w:rsidDel="00000000">
              <w:rPr>
                <w:rtl w:val="0"/>
              </w:rPr>
              <w:t xml:space="preserve">  </w:t>
            </w:r>
            <w:r w:rsidR="00000000" w:rsidRPr="00000000" w:rsidDel="00000000">
              <w:rPr>
                <w:rtl w:val="0"/>
              </w:rPr>
              <w:t xml:space="preserve">9.panta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7.punkta "a" apakšpunktu, </w:t>
            </w:r>
            <w:r w:rsidR="00000000" w:rsidRPr="00000000" w:rsidDel="00000000">
              <w:rPr>
                <w:rtl w:val="0"/>
              </w:rPr>
              <w:t xml:space="preserve">Ministru kabineta iekārtas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panta pirmās daļas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Ekonomikas ministrijas izstrādāto noteikumu projektu “Enerģijas lietotāju apgādes kārtība izsludinātas enerģētiskās krīzes laikā un valsts apdraudējuma gadījumā” (23-TA-620).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noteikumu projekts sniedz atsauci uz Enerģētikas likuma 64. panta pirmajā daļā ietverto deleģējumu. Taču, par to, ka noteikumu projekts paredz tikai daļu no Enerģētikas likuma 64. panta pirmajā daļā ietvertā deleģējuma, noteikuma projekta nosaukums neliecina. Līdz ar to nav saprotama noteikumu projekta anotācijā minētā piebilde: “Pamatojoties uz Enerģētikas likuma 64. panta pirmo daļu, tiks izstrādāti atsevišķi Ministru kabineta noteikumi par pārējiem Enerģētikas likuma 64. panta pirmajā daļā likumdevēja deleģētiem jautājumiem, tostarp attiecībā uz naftas produktu drošības rezervju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lūdz Ekonomikas ministriju precizēt noteikumu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28.08.2023.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28.08.2023.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