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"EXTRA CREDIT"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SIA EXTRA CREDIT</w:t>
            </w:r>
            <w:r w:rsidR="00000000" w:rsidRPr="00000000" w:rsidDel="00000000">
              <w:rPr>
                <w:rtl w:val="0"/>
              </w:rPr>
              <w:t xml:space="preserve">,  reģistrācijas numurs </w:t>
            </w:r>
            <w:r w:rsidR="00000000" w:rsidRPr="00000000" w:rsidDel="00000000">
              <w:rPr>
                <w:b w:val="1"/>
                <w:rtl w:val="0"/>
              </w:rPr>
              <w:t xml:space="preserve">40103548796</w:t>
            </w:r>
            <w:r w:rsidR="00000000" w:rsidRPr="00000000" w:rsidDel="00000000">
              <w:rPr>
                <w:rtl w:val="0"/>
              </w:rPr>
              <w:t xml:space="preserve">, turpmāk – Sabiedrība, ir licencēts patērētāju kreditētājs, kas saskaņā ar Patērētāju tiesību aizsardzības likuma 8.pantu ir saņēmis speciālo atļauju (licenci) patērētāju kreditēšanas pakalpojumu sniegšanai. Likumprojekts tiešā veidā skar šīs sabiedrības darbību. Attiecīgi sabiedrība ir atkārtoti iepazinusies ar šo likumprojektu sniedz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nepiekrīt likumprojekta izziņā ietvertajam pamatojumam. Akcentējam, ka iebildumu būtība ir ne tikai par pašu piekļuvi informācijai likumā noteikto pienākumu izpildei, ko nepieciešams nodrošināt visiem likuma subjektiem, bet arī par nevienlīdzīgajiem nosacījumiem, lai šādai informācijai piekļūtu. Ja šobrīd jau ilgstoši kredītiestādēm un apdrošināšanas komersantiem, ciktāl tie veic dzīvības apdrošināšanas vai citas ar līdzekļu uzkrāšanu saistītas apdrošināšanas darbības, tiek nodrošināta bezmaksas piekļuve informācijai, kamēr personas, kuras nodarbojas ar patērētāja kreditēšanu un kuras saskaņā ar Patērētāju tiesību aizsardzības likumu ir saņēmušas speciālo atļauju (licenci) kreditēšanas pakalpojumu sniegšanai, šādu informāciju var saņemt tikai par maksu. Lai gan likumā noteiktās subjektu funkcijas un pienākumi ir vienādoti neatkarīgi no subjekta darbības veida, šāda kardināli atšķirīga pieeja subjektu izmaksām saistībā ar likumā noteikto pienākumu izpildi ir nekavējoties jālabo. Likuma regulējumam attiecībā uz jebkādiem komersanta maksājumiem ir jābūt skaidram un prognozējamam. Precizētais likumprojekts, diemžēl, neļauj prognozēt izmaksas ilgtermiņā, kā arī pēc būtības nesniedz skaidru atbildi par izmaksām pārejas periodā, jo anotācijā norādītās Latvijas Bankas faktiskās izmaksas ir būtiski zemākas par likumprojektā iekļautajām maksas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ziņojumam “Par vienotas patērētāju kreditētāju licencēšanas un uzraudzības institūcijas noteikšanu” (7.lpp.), ja Latvijas Bankas uzraudzībā tiktu nodoti šobrīd Patērētāju tiesību aizsardzības centra licencētie nebanku kreditētāji un patērētāju tiesību un interešu aizsardzība finanšu sektorā, tad iegūtu vienotu un efektīvu noziedzīgi iegūtu līdzekļu legalizācijas un klientu izpētes (AML/KYC) prasību ieviešanā, nodrošinot gan starptautisku normu ievērošanu, gan pakalpojumu sniedzēju vienlīdzīgu attieksmi pret klientiem. Minēto vienoto prasību īstenošanai nepieciešams noteikt arī vienotu tiesību kopumu visiem subjektiem, kam jāīsteno vienādi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esošais regulējums licencētiem patērētāju kreditēšanas sniedzējiem nosaka ievērojami mazāku tiesību apjomu iegūt valsts rīcībā esošo informāciju savu noziedzīgi iegūtu līdzekļu legalizācijas un terorisma un proliferācijas finansēšanas novēršanas funkciju izpildei ar tādiem pat noteikumiem kā šo informāciju iegūst kredītiestādēm un apdrošināšanas komersantiem, ciktāl tie veic dzīvības apdrošināšanas vai citas ar līdzekļu uzkrāšanu saistītas apdrošināšanas darbības, saskaņā ar Noziedzīgi iegūtu līdzekļu legalizācijas un terorisma un proliferācijas finansēšanas novēršanas likuma pirmo un otro daļu. Esošais regulējums ir klaji netaisnīgs pret personām, kuras nodarbojas ar patērētāja kreditēšanu un kuras saskaņā ar Patērētāju tiesību aizsardzības likumu ir saņēmušas speciālo atļauju (licenci) kreditēšanas pakalpojumu sniegšanai. Minēto problēmu Ministru kabinets ir apzinājis jau 2019. gadā, Ministru prezidentam 2019. gada 4. jūlijā izdodot rezolūciju ar uzdevuma numuru 2019-UZD-1152: “Ministru kabinets līdz 2021. gada 1. jūlijam iesniedz Saeimai likumprojektu, kas vienādo šā likuma 5.1 panta otrās daļas un 41. panta otrās daļas nosacījumus informācijas pieejamības nodrošināšanai šā likuma subjektiem no Latvijas Republikas informācijas sistēmām šā likuma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vārā augstāk minēto, iebilstam pret likumprojekta tālāku virzību esošajā redakcijā bez atbilstošiem grozījumiem Noziedzīgi iegūtu līdzekļu legalizācijas un terorisma un proliferācijas finansēšanas novēršanas likuma pirmajā un otrajā daļā. </w:t>
            </w:r>
            <w:r w:rsidR="00000000" w:rsidRPr="00000000" w:rsidDel="00000000">
              <w:rPr>
                <w:b w:val="1"/>
                <w:rtl w:val="0"/>
              </w:rPr>
              <w:t xml:space="preserve">Attiecīgi lūdzam 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pēc vārdiem “darbības” ar vārdiem ” un personas, kuras nodarbojas ar patērētāja kreditēšanu un kuras saskaņā ar Patērētāju tiesību aizsardzības likumu ir saņēmušas speciālo atļauju (licenci) kreditēšanas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otrajā daļā pēc vārdiem “darbības” ar vārdiem “un personas, kuras nodarbojas ar patērētāja kreditēšanu un kuras saskaņā ar Patērētāju tiesību aizsardzības likumu ir saņēmušas speciālo atļauju (licenci) kreditēšanas pakalpojumu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Čerņagins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08.05.2026.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08.05.2026.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Atzinumi_26-TA-745.docx</dc:title>
</cp:coreProperties>
</file>

<file path=docProps/custom.xml><?xml version="1.0" encoding="utf-8"?>
<Properties xmlns="http://schemas.openxmlformats.org/officeDocument/2006/custom-properties" xmlns:vt="http://schemas.openxmlformats.org/officeDocument/2006/docPropsVTypes"/>
</file>