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17. aprīļa noteikumos Nr. 225 "Valsts tehniskās uzraudzības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norādīts, ka ieņēmumi no maksas pakalpojumiem tiks novirzīti arī atlīdzības izdevumu segšanai, uzsverot arī izmaiņas normatīvajā regulējumā no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1.pielikuma 9.punkts parāda plānojamo izdevumu kopējo apmēru atlīdzībai 2023.gadā.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ir aprēķināti izdevumi atlīdzībai, norādot vai izmantots attiecīgās mēnešalgu skalas minimuma vai viduspunkta intervāls vai arī kāds cits apmērs (norādot kāds), lai tādejādi virzītos uz konkurētspejīgu atlīdzību.  Vienlaikus lūdzam norādīt vai ar atlīdzību tiek saprasta tikai mēnešalga un darba devēja VSAOI vai arī kādi citi izdevumi atlīdzībai. Lūdzam norādīt citus izdevumus (elementus) atlīdzībai, ja tādi tiek izmantoti.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1.sadaļā minēto, ka noteikumu projekts izstrādāts sadarbībā ar vairākām nevalstiskajām organizācijām, lūdzam papildināt anotācijas 6.sadaļu, pirmkārt, norādot visas organizācijās, kuras bija iesaistītas noteikumu projekta izstrādē un otrkārt, norādīt izmantotos sabiedrības iesaistes veidus un rezultātus anotācijas 6.2. un 6.3.punktā. Valsts kanceleja pārliecinājās, ka publiskās apspriešanas laikā netika saņemti priekšlikumi, tomēr 6.sadaļā atspoguļojama sabiedrības pārstāvju iesaiste projektā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14.03.2023.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14.03.2023.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Atzinumi_23-TA-476.docx</dc:title>
</cp:coreProperties>
</file>

<file path=docProps/custom.xml><?xml version="1.0" encoding="utf-8"?>
<Properties xmlns="http://schemas.openxmlformats.org/officeDocument/2006/custom-properties" xmlns:vt="http://schemas.openxmlformats.org/officeDocument/2006/docPropsVTypes"/>
</file>