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fiziskajām personām lūdzam precizēt ietekmes aprakstu. Šobrīd ietekmes aprakstā norādīts, ka tiesiskais regulējums nemaina tiesības un pienākumus, vienlaikus aprakstot atbalsta sniegšanu kā motivācijas mehānismu. Lūdzam skaidri un kodolīgi norādīt, kā projekts ietekmē mērķa grupu, proti, kas tieši mainās (piemēram, vai tiek ieviests jauns atbalsta mehānisms, mainīti nosacījumi u.tml.), nevis tikai vispārīgi raksturot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juridiskajām personām lūdzam precizēt mērķa grupu un ietekmes aprakstu. Vēršam uzmanību, ka anotācijas 2. sadaļā ir norādāmi privāto tiesību subjekti, kurus ietekmē tiesiskais regulējums, savukārt valsts institūcijas (piemēram, Veselības ministrija) šajā sadaļā nav uzrādāmas. Tāpat lūdzam precizēt ietekmes aprakstu, skaidri norādot, kā regulējums ietekmēs ārstniecības iestādes (piemēram, vai tām rodas jauni pienākumi, mainās darbības kārtība u.tml.), nevis norādīt, ka tiesības un pienākumi pēc būtības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 sadaļā ietvertais administratīvo izmaksu aprēķins attiecas uz valsts iestādi. Ietekme uz valsts iestādēm un administratīvo izmaksu aprēķins ir norādāmi anotācijas 7. sadaļā. Papildus lūdzam precizēt administratīvo izmaksu novērtējuma skaidrojumu, skaidri norādot, uz kuriem tiesību akta projekta punktiem attiecas identificētais informācijas sniegšanas pienākums, kā arī pamatot veikto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6.4.apakšpunktā norādīto informāciju ietver skaidrojumā, fiksējot iemeslus (jau norādītos) kādēļ sabiedrības līdzdalības iespējas nebija nepieciešams nodrošināt.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07.04.2026.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07.04.2026.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