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5. maija noteikumos Nr. 413 "Noteikumi par gada publiskajiem pārskatiem"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regulējums attiecas arī uz </w:t>
            </w:r>
            <w:r w:rsidR="00000000" w:rsidRPr="00000000" w:rsidDel="00000000">
              <w:rPr>
                <w:u w:val="single"/>
                <w:rtl w:val="0"/>
              </w:rPr>
              <w:t xml:space="preserve">privātpersonām, kas nodrošina publisko kompetenci </w:t>
            </w:r>
            <w:r w:rsidR="00000000" w:rsidRPr="00000000" w:rsidDel="00000000">
              <w:rPr>
                <w:rtl w:val="0"/>
              </w:rPr>
              <w:t xml:space="preserve">un saņem valsts budžeta finansējumu. Tāpat publiskie pārskati tiek gatavoti sabiedrībai, tāpēc tie attiecas uz sabiedrību kopumā. Ievērojot minēto, lūdzam papildināt anotācijas 2.sadaļu.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anotācijas 2.sadaļas, lūdzam precizēt skaidrojuma aprakstu.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Ministrijas un citas centrālās valsts iestādes pārskatā iekļaujamo informāciju atspoguļo kopumā par padotības iestādēm, bet padotības iestādes atbilstoši kompetencei sniedz detalizētu informāciju, ievērojot šajos noteikumos noteikto pārskata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budžetu un finanšu vadību (turpmāk - LBFV) noteic, ka </w:t>
            </w:r>
            <w:r w:rsidR="00000000" w:rsidRPr="00000000" w:rsidDel="00000000">
              <w:rPr>
                <w:b w:val="1"/>
                <w:rtl w:val="0"/>
              </w:rPr>
              <w:t xml:space="preserve">lai informētu sabiedrību par iestādes darbības mērķiem un rezultātiem, kā arī par piešķirto valsts budžeta līdzekļu izlietošanu iepriekšējā gadā</w:t>
            </w:r>
            <w:r w:rsidR="00000000" w:rsidRPr="00000000" w:rsidDel="00000000">
              <w:rPr>
                <w:rtl w:val="0"/>
              </w:rPr>
              <w:t xml:space="preserve">, ministrijas un citas centrālās valsts iestādes, </w:t>
            </w:r>
            <w:r w:rsidR="00000000" w:rsidRPr="00000000" w:rsidDel="00000000">
              <w:rPr>
                <w:b w:val="1"/>
                <w:rtl w:val="0"/>
              </w:rPr>
              <w:t xml:space="preserve">visas to padotībā esošās budžeta finansētās institūcijas</w:t>
            </w:r>
            <w:r w:rsidR="00000000" w:rsidRPr="00000000" w:rsidDel="00000000">
              <w:rPr>
                <w:rtl w:val="0"/>
              </w:rPr>
              <w:t xml:space="preserve">, budžeta nefinansētas iestādes un pašvaldības līdz pārskata gadam sekojošā gada 1.jūlijam </w:t>
            </w:r>
            <w:r w:rsidR="00000000" w:rsidRPr="00000000" w:rsidDel="00000000">
              <w:rPr>
                <w:b w:val="1"/>
                <w:rtl w:val="0"/>
              </w:rPr>
              <w:t xml:space="preserve">sagatavo gada publiskos pārskatus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terminu skaidrojumu </w:t>
            </w:r>
            <w:r w:rsidR="00000000" w:rsidRPr="00000000" w:rsidDel="00000000">
              <w:rPr>
                <w:b w:val="1"/>
                <w:rtl w:val="0"/>
              </w:rPr>
              <w:t xml:space="preserve">budžeta finansētas institūcijas</w:t>
            </w:r>
            <w:r w:rsidR="00000000" w:rsidRPr="00000000" w:rsidDel="00000000">
              <w:rPr>
                <w:rtl w:val="0"/>
              </w:rPr>
              <w:t xml:space="preserve"> (likuma pilnvarojumā minētas) ir budžeta iestādes, no valsts budžeta daļēji finansētas atvasinātas publiskas personas, </w:t>
            </w:r>
            <w:r w:rsidR="00000000" w:rsidRPr="00000000" w:rsidDel="00000000">
              <w:rPr>
                <w:u w:val="single"/>
                <w:rtl w:val="0"/>
              </w:rPr>
              <w:t xml:space="preserve">visi pilnīgi vai daļēji tieši no valsts budžeta finansēti komersanti, biedrības vai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regulējuma netop viennozīmīgi skaidrs, vai </w:t>
            </w:r>
            <w:r w:rsidR="00000000" w:rsidRPr="00000000" w:rsidDel="00000000">
              <w:rPr>
                <w:u w:val="single"/>
                <w:rtl w:val="0"/>
              </w:rPr>
              <w:t xml:space="preserve">gada publiskais pārskats</w:t>
            </w:r>
            <w:r w:rsidR="00000000" w:rsidRPr="00000000" w:rsidDel="00000000">
              <w:rPr>
                <w:rtl w:val="0"/>
              </w:rPr>
              <w:t xml:space="preserve"> ir jāgatavo arī kapitālsabiedrībai (t.sk. valsts kapitālsabiedrībai) vai cita veida valsts uzdevuma izpildītājam - biedrībai, nodibinājumam, atvasinātai publiskai personai (kas nav padotības iestāde), kurš pilda ar ārējo normatīvo aktu vai ar deleģēšanas līgumu deleģētos valsts pārvaldes uzdevumus/pasākumus un/vai saņem valsts pārvaldes uzdevumu/pasākumu izpildei valsts budžeta līdzekļus (turpmāk - pilnvarotā persona). Ja nav jāgatavo, vai pilnvarotajai personai informāciju gada publiskajam pārskatam jāiesniedz tai iestādei, kuras padotībā ir pilnvarotā persona saskaņā ar ārējā normatīvajā aktā noteikto vai deleģēšanas līgumā paredzēto (Valsts pārvaldes iekārtas likuma 40.panta otrā daļa un 43.panta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šo aspektu, nodrošināt skaidrību, nepieciešamības gadījumā precizējot regulējumu vai sniedzot skaidrojumu izziņā vai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12. punktu pašvaldības sāk piemērot, sagatavojot 2024. gadā pašvaldības gada publisko pārskatu par 2023.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ka iestāžu pārskatu jaunās satura prasības piemērojamas sagatavojot 2023.gada pārskatu, jo, piemēram, Tieslietu ministrijā informācija 2022.gada publiskajam pārskatam ir jau apkopota.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12. punktu pašvaldības sāk piemērot, sagatavojot 2024. gadā pašvaldības gada publisko pārskatu par 2023.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12.punkts jau ir spēkā un tiek piemērots, tāpēc pārejas regulējums saistāms ar veiktajiem grozījumiem tajā. Ievērojot minēto, lūdzam precizēt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12. punktu pašvaldības sāk piemērot, sagatavojot 2024. gadā pašvaldības gada publisko pārskatu par 2023.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pretēji likumam “Par pašvaldībām” (72. pants) Pašvaldību likuma tiesiskajā regulējumā nav iekļautas prasības pašvaldības gada publiskā pārskata saturam un tā sagatavošanai. Līdz ar to Noteikumu projekts paredz noteikt informācijas apjomu un saturu, kas pašvaldībām ir jāsagatavo, iesniedzot gada publiskos pārskatus. Turpmāk regulējums pašvaldībām gada publisko pārskatu sagatavošanai tiks noteikts vienā normatīvajā regulējumā, t.i., noteikumos Nr. 413 (līdz grozījumiem prasības bija noteiktas gan noteikumos Nr. 413, gan arī likuma “Par pašvaldībām” 72. pantā, kas ir zaudējis spēku). Papildus norādīts, ka nepieciešams noteikt pārejas regulējumu, t.i., kādas prasības pašvaldības sāks piemērot, sagatavojot gada publisko pārskatu 2024. gadā par 2023.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arī paredz šādu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vēršam uzmanību, ka šobrīd pašvaldības gada publiskos pārskatus var sagatavot balstoties tikai iepriekšējā pieredzē, jo regulējums, kas to detalizēti noteica ir zaudējis spēku un projekts pasaka, ka jaunais regulējums ir piemērojams tikai sākot ar 2023.gada pārskatu.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publisko pārskatu sagatavošana par 2022.gadu saskaņā ar likumā noteikto turpināsies līdz š.g. 1.jūlijam un laba pārvaldība prasa, ka pašvaldībām būtu noteikts kā sagatavojams 2022.gada publiskais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Pašvaldību likuma pārejas noteikumu 12.punktā noteikto, ka Ministru kabinets līdz 2023. gada 31. martam pieņem nepieciešamos grozījumus Ministru kabineta noteikumos, lai tos saskaņotu ar šo likumu, pašvaldības gaida grozījumus šajos noteikumos, lai 2022.gada publisko pārskatu sagatavotu saskaņā ar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paredzēt, ka noteikumos ir noteikts kā pašvaldībai sagatavot 2022.gada publisko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23-TA-736</w:t>
    </w:r>
    <w:r>
      <w:br/>
    </w:r>
    <w:r w:rsidR="00000000" w:rsidRPr="00000000" w:rsidDel="00000000">
      <w:rPr>
        <w:rtl w:val="0"/>
      </w:rPr>
      <w:t xml:space="preserve">Izdrukāts 27.04.2023.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23-TA-736</w:t>
    </w:r>
    <w:r>
      <w:br/>
    </w:r>
    <w:r w:rsidR="00000000" w:rsidRPr="00000000" w:rsidDel="00000000">
      <w:rPr>
        <w:rtl w:val="0"/>
      </w:rPr>
      <w:t xml:space="preserve">Izdrukāts 27.04.2023.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Atzinumi_23-TA-736.docx</dc:title>
</cp:coreProperties>
</file>

<file path=docProps/custom.xml><?xml version="1.0" encoding="utf-8"?>
<Properties xmlns="http://schemas.openxmlformats.org/officeDocument/2006/custom-properties" xmlns:vt="http://schemas.openxmlformats.org/officeDocument/2006/docPropsVTypes"/>
</file>