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42.1., 42.2., 42.3., 42.12., 42.13. un 42.15. apakšpunktā minētās izmaksas attiecināmas atbilstoši atbildīgās iestādes izstrādātajai vienkāršoto izmaksu metodikai, kas saskaņota ar vadošo iestādi, no līguma par projekta īstenošanu noslēgšanas brīža starp sadarbības iestādi un sadarbības tīklu.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nesaskaņo grozījumos Ministru kabineta 2023. gada 22. augusta noteikumu Nr. 473  iekļauto 47.punkta dzēšanu, jo Ekonomikas ministrijas norādītajam pamatojumam nav papildus izvērstas argumentācijas, tikai formāla atsauce uz Finanšu ministrijas izstrādāto vadlīniju Nr. 1.1. “Vadlīnijas par vienkāršoto izmaksu izmantošanas iespējām un to piemērošana Eiropas Savienības kohēzijas politikas programmas 2021.-2027.gadam ietvaros” (turpmāk - Vadlīnijas Nr.1) 1. nodaļas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birokrātisko slogu finansējuma saņēmējiem, sadarbības iestāde lūdz Ekonomikas ministriju pārvērtēt ierosinātos grozījumus Ministru kabineta 2023. gada 22. augusta noteikumos Nr. 473  dzēst 47.punktu, izvērtējot iespējas vismaz atsevišķām pozīcijām (piemēram, projekta vadībai, iekšzemju un ārzemju komandējumiem utt.)  piemērot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Vadlīniju Nr.1 1. nodaļas 8.punkts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metodika tiek izstrādāta ar mērķi vienkāršot ES fondu projektu faktisko izmaksu uzskaiti un kontroli, veicinot fokusēšanās maiņu no finanšu dokumentu pārbaudes uz sasniegto rezultātu pārbaudi, tādā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FS administratīvo slogu projekta izmaksu uzskaitei un maksājuma pieprasījumu pamatojošās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SI administratīvo slogu projektu izmaksu dokumentācijas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samazinot kļūdu rašanās iespējas gan izmaksu pamatojošās dokumentācijas sagatavošanā, gan tās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veicinot ES fondu finansējuma aprites ātrumu – samazināts laiks maksājumu pieprasījumu sagatavošanai, pārbaudei un lēmuma sagatavošanai par līdzfinansējuma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fokusējoties uz mērķa un rezultātu sasniegšanu, kas veicina efektīvāku finansējuma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par to, vai noteikumu projekts ietekmēs projekta iesniedzēju un vai būs nepieciešami grozījumi vienošanās par projekta īstenošanu. Vēršam uzmanību, ka par jebkurām izmaiņām atlases nosacījumos ir jāinformē  potenciālais projekta iesniedzējs.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otrās kārtas ietvaros kādā no šo noteikumu 28.1.2., 28.2.2., 28.2.3. un 28.2.4. apakšpunktā minētajiem tūrisma veidiem tiek iesniegti vairāki projekta iesniegumi, tad tiek apstiprināts projekta iesniegums, kas projektu iesniegumu atlasē ieguvis augstāko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jauno 31. punkta redakciju, lūgums izteikt jaunā redakcijā arī 32.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otrās kārtas ietvaros kādā no šo noteikumu </w:t>
            </w:r>
            <w:r w:rsidR="00000000" w:rsidRPr="00000000" w:rsidDel="00000000">
              <w:rPr>
                <w:u w:val="single"/>
                <w:rtl w:val="0"/>
              </w:rPr>
              <w:t xml:space="preserve">28.2.1</w:t>
            </w:r>
            <w:r w:rsidR="00000000" w:rsidRPr="00000000" w:rsidDel="00000000">
              <w:rPr>
                <w:rtl w:val="0"/>
              </w:rPr>
              <w:t xml:space="preserve">., 28.2.2., 28.2.3. un 28.2.4. apakšpunktā minētajiem tūrisma veidiem tiek iesniegti vairāki projekta iesniegumi, tad tiek apstiprināts projekta iesniegums, kas projektu iesniegumu atlasē ieguvis augstāko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Vasipa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pirmās kārtas ietvaros tiek pārkāptas šajos noteikumos noteiktās komercdarbības atbalsta kontroles normas, tostarp nosacījumi, kas izriet no regulas Nr.  </w:t>
            </w:r>
            <w:r w:rsidR="00000000" w:rsidRPr="00000000" w:rsidDel="00000000">
              <w:rPr>
                <w:rtl w:val="0"/>
              </w:rPr>
              <w:t xml:space="preserve">1407/2013</w:t>
            </w:r>
            <w:r w:rsidR="00000000" w:rsidRPr="00000000" w:rsidDel="00000000">
              <w:rPr>
                <w:rtl w:val="0"/>
              </w:rPr>
              <w:t xml:space="preserve">, sadarbības tīklam, ja nelikumīgo komercdarbības atbalstu saņēmis sadarbības tīkls, vai sadarbības tīkla dalībniekam, ja nelikumīgo komercdarbības atbalstu saņēmis sadarbības tīkla dalībnieks,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aktuālajai Eiropas Savienības tiesu judikatūrai atbilstošu pienākumu atgūt tikai nelikumīgo komercdarbības atbalstu, nevis visu komercdarbības atbalstu, aicinām noteikumu 93.,94. un 95.punktu izteikt, piemēram,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pirmās kārtas ietvaros tiek pārkāpti regulas Nr. 1407/2013 nosacījumi, sadarbības tīklam, ja nelikumīgo komercdarbības atbalstu saņēmis sadarbības tīkls, vai sadarbības tīkla dalībniekam, ja nelikumīgo komercdarbības atbalstu saņēmis sadarbības tīkla dalībnieks, ir pienākums atmaksāt aģentūrai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otrās kārtas ietvaros tiek pārkāpti regulas Nr. 1407/2013 nosacījumi, sadarbības tīklam ir pienākums atmaksāt sadarbības iestādei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attiecībā uz sadarbības tīkla dalībniekam otrās kārtas ietvaros piešķirto atbalstu ir pārkāpti regulas Nr. 1407/2013 nosacījumi, sadarbības tīkla dalībniekam ir pienākums atmaksāt sadarbības tīklam projekta ietvaros saņemto nelikumīgo de minimis atbalstu kopā ar procentiem no līdzekļiem, kas ir brīvi no komercdarbības atbalsta, atbilstoši Komercdarbības atbalsta kontroles likuma IV vai V nodaļas nosacījumiem. Sadarbības tīkls nelikumīgo atbalstu, kuru atguvis no sadarbības tīkla dalībnieka, atmaksā sadarbības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22.12.2023.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22.12.2023.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