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"1. Sadarbības tīklu pieeja" ar informāciju, ka, izstrādājot tūrisma produktus un ģenerējot tūrisma idejas, tiks ņemts vērā tūrisma piekļūstamības princips, kā to paredz ANO Konvencija par personu ar invaliditāti tiesībām, proti, pasākuma ietvaros izveidotie tūrisma pakalpojumi būs piekļūstami cilvēkiem ar redzes, dzirdes, kustību vai garīga rakstura traucējumiem, vecāka gadagājuma cilvēkiem, cilvēkiem ar uztveres īpatnībām, lasīšanas grūtībām, autiskā spektra traucējumiem, kā arī cilvēkiem ar viegliem vai pārejošiem funkcionēšanas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sadaļu ar informāciju par pasākuma ietekmi uz horizontālo principu "Vienlīdzība, iekļaušana, nediskriminācija un pamattiesību ievērošana" (turpmāk - HP):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SAM/pasākumam ir netieša ietekme uz  ietekme uz HP (skat. HP vadlīniju 1.pielikumu,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HP vērtēšanas kritērija veidu, kurš tiks piemērots projektu iesniegumu vērtēšanā (kvalitātes kritērijs, skat. HP vadlīniju 6.1.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informāciju par to, ka pasākumam tiks piemērots HP rādītājs "Atbalstu saņēmušie komersanti dalījumā pa dzimumiem", kurš tiks iegūts Labklājības ministrijas izvērtējumā vienu reizi ES fondu 2021.-2027.g. plānošanas perioda beigās.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13.03.2023.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13.03.2023.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