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dati tiks migrēti no Valsts kases sistēmas (Horizon), līdz ar to neredzam pamatojumu, ka iestādei ir jāsniedz informācija par visiem sistēmas lietotājiem, varētu būt, piemēram, par administratoriem vai citiem lietotājiem, kuriem ir plašās tiesības, tādējādi, samazinot administratīvo slogu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Cilvēkresursu pārvaldības sistēmu minēts, ka no Valsts kases sistēmas tiks nodrošināta sākotnējo datu migrācija, savukārt par datu migrāciju uz Mācīšanās un attīstības sistēmu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Manuāla datu sniegšana par sistēmas lietotājiem prasa ievērojamu administratīvo slogu, tādējādi jāparedz datu migrācija uz Mācīšanās un attīstības sistēmu no Valsts kases sistēmas, izņemot par lietotājiem, kuriem paredzētas plašākas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sistēmā paredzēti dati par tiesisko attiecību izbeigšanu, uzskatam par administratīvo slogu sniegt pieteikumu par sistēmas lietošanas  pārtraukšanu. Lūdzam izvērtēt iespēju izmantot sistēmā esošo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minēto personas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izvērtēt, vai nav nepieciešams noteikt termiņu personas datu uzglabāšanai vai piekrišanas atsaukšanai, ja pretendents ir piekritis savu datu izmantošanai ārpus konkrētā atlases konkursa (piemēram, datus izmantot citu līdzvērtīgu vakanču piedāvāšanai, ja šāda iespēja būs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ja ar pretendentu netiek nodibinātas darba (amata, dienesta) attiecības, tad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noteiktais divu mēnešu personas datu glabāšanas termiņš var būt nepietiekams gadījumos, kad saistībā ar izsludināto vakanci vai konkursa norisi rodas strīds vai tiek izmantotas pārsūdzēšanas tiesības, tādēļ būtu izvērtējama iespēja paredzēt ilgāku vai elastīgu datu glabāšanas termiņu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aizsardzības regulas 28. panta 3. punktu pārzinim jānodrošina iespēja efektīvi uzraudzīt personas datu apstrādātāja darbību, tostarp paredzot audita un kontroles mehānismus. Noteikumos un anotācijā šāds apstrādātāja uzraudzības mehānisms nav paredzēts, savukārt apstrādātāja statusa noteikšana pati par sevi nav pietiekama, lai pārziņi varētu pārliecināties, ka Valsts kanceleja kā apstrādātājs rīkojas tikai saskaņā ar viņu dokumentētajiem norādījumiem un ievēro visus piemērojamos personas datu aizsardzības principus. Vienlaikus ir izvērtējams, vai cilvēkresursu vadības procesu nodrošināšanā Valsts kanceleja kā sistēmas turētājs Datu regulas izpratnē nevarētu tikt definēts kā personas datu pārzinis vai kopīgs pārzinis, nevis tikai datu apstrādātājs.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izņemt norādi "kas stāsies spēkā 2026. gada 10. aprīlī", jo grozījumi jau stājušies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izņemt norādi "kas stāsies spēkā 2026. gada 10. aprīlī", jo grozījumi jau stājušies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Skangale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pirmajā aizzīmē pie risinājuma apraksta divas reizes atkārtojas teksts "Pašapkalpošanās portāls ir uz tīmekļa tehnoloģijām balstīta sistēmas saskarne, ko izmanto pašapkalpošanās darbību veikšanai. pašapkalpošanās portāls ir uz tīmekļa tehnoloģijām balstīta sistēmas saskarne, ko izmanto pašapkalpošanās darbību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pie risinājuma apraksta divas reizes atkārtojas teksts "Pašapkalpošanās portāls ir uz tīmekļa tehnoloģijām balstīta sistēmas saskarne, ko izmanto pašapkalpošanās darbību veikšanai. pašapkalpošanās portāls ir uz tīmekļa tehnoloģijām balstīta sistēmas saskarne, ko izmanto pašapkalpošanās darbību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Skangale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2.1. punktu – patreiz ir norādīts šādi: "</w:t>
            </w:r>
            <w:r w:rsidR="00000000" w:rsidRPr="00000000" w:rsidDel="00000000">
              <w:rPr>
                <w:b w:val="1"/>
                <w:rtl w:val="0"/>
              </w:rPr>
              <w:t xml:space="preserve">Juridiskās personas" </w:t>
            </w:r>
            <w:r w:rsidR="00000000" w:rsidRPr="00000000" w:rsidDel="00000000">
              <w:rPr>
                <w:rtl w:val="0"/>
              </w:rPr>
              <w:t xml:space="preserve">un tālāk uzskaitījums:</w:t>
            </w:r>
            <w:r w:rsidR="00000000" w:rsidRPr="00000000" w:rsidDel="00000000">
              <w:rPr>
                <w:b w:val="1"/>
                <w:rtl w:val="0"/>
              </w:rPr>
              <w:t xml:space="preserve"> "</w:t>
            </w:r>
            <w:r w:rsidR="00000000" w:rsidRPr="00000000" w:rsidDel="00000000">
              <w:rPr>
                <w:rtl w:val="0"/>
              </w:rPr>
              <w:t xml:space="preserve">Valsts pārvaldes institūcijas Pašvaldības Privātpersonas". Privātpersonas nevar būt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2.1. punktu – patreiz ir norādīts šādi: "Juridiskās personas" un tālāk uzskaitījums: "Valsts pārvaldes institūcijas Pašvaldības Privātpersonas". Privātpersonas nevar būt juridiskās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Skangale (IUB)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