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24-TA-969: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2015. gada 26. maija noteikumos Nr. 259 "Atbalsta piešķiršanas kārtība dalībai starptautiskās sadarbības programmās pētniecības un tehnoloģiju jomā"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22.08.2024.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22.08.2024.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13.1.1.4. ārpakalpojumu izmaksas, tostarp par līgumpētījumiem, zināšanām, konsultantu pakalpojumiem un citiem pakalpojumiem, kas nepieciešami projekta darba uzdevumu veikšanai, ja ārpakalpojumu sniedz atbilstoši iepirkuma procedūru regulējošajiem normatīvajiem aktiem. Šīs izmaksas nedrīkst pārsniegt 25 procentus no projekta kopējām tiešajām izmaksām;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Finanšu ministrijas 14.06.2024 izteikto iebildumu, kas iekļauts izziņas 14.punktā (izziņā norādīts, ka tas ir ņemts vērā, bet faktiski precizējums noteikumu 13.1.1.4.apakšpunktā nav veikts). Skaidrojam, ka, lai izslēgtu komercdarbības atbalstu preču/pakalpojumu piegādātājiem, tiem jābūt izvēlētiem ievērojot caurspīdīgu, pārskatāmu, nediskriminējošu un konkurenci nodrošinošu procedūru. Vēršam uzmanību, ka atsevišķas publisko iepirkumu procedūras var nenodrošināt, ka tiek novērsts komercdarbības atbalsta sniegšanas risku - atbilstoši Eiropas Komisijas norādēm, piemēram, tāda iepirkuma procedūra kā sarunu procedūra bez paziņojuma par līgumu iepriekšēju publicēšanu var radīt risku, ka netiek piemērota tirgus cena par darījumu (sīkāka informācija pieejama Komisijas paziņojumā par Līguma par Eiropas Savienības darbību 107. panta 1. punktā minēto valsts atbalsta jēdzienu (2016/C 262/01). Attiecīgi, lai nodrošinātu, ka preču piegādātāju/pakalpojumu sniedzēja līmenī netiek piešķirts komercdarbības atbalsts, lūdzam papildināt noteikumu 13.1.1.4.apakšpunktu ar nosacījumu, ka īstenojot projektu, finansējuma saņēmējs izvēlas preču piegādātājus/pakalpojuma sniedzējus saskaņā ar normatīvajiem aktiem publisko iepirkumu jomā, </w:t>
            </w:r>
            <w:r w:rsidR="00000000" w:rsidRPr="00000000" w:rsidDel="00000000">
              <w:rPr>
                <w:u w:val="single"/>
                <w:rtl w:val="0"/>
              </w:rPr>
              <w:t xml:space="preserve">īstenojot atklātu, pārredzamu, nediskriminējošu un konkurenci nodrošinošu procedūru</w:t>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Mažuika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pārskatīt anotācijas 1.3.sadaļā ietverto informāciju par noteikumu 7.5. un 7.7.apakšpunktu, jo iekļautais skaidrojums par atbalsta pretendenta pienākumu iesniegt apliecinājumu par to, ka tas neatbilst normatīvajos aktos noteiktiem kritērijiem, lai tam pēc kreditora pieprasījuma piemērotu maksātnespējas procedūru, pašreizējā redakcijā vairākkārt atkārtojas un atsevišķos skaidrojumos ir redakcionālas nepilnības.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Mažuika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3.sadaļas tabulā 2024.gadā ailē "saskaņā ar valsts budžetu kārtējam gadam" norādīto finansējumu pārcelt uz aili "izmaiņas kārtējā gadā, salīdzinot ar valsts budžetu kārtējam gadam", kā arī 2025. un 2026.gadā ailē "saskaņā ar vidēja termiņa budžeta ietvaru" norādīto finansējumu pārcelt uz aili "izmaiņas, salīdzinot ar vidēja termiņa budžeta ietvaru".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anotācijas 3.sadaļas apakšsadaļa "Cita informācija" papildināma ar informāciju, ka ailē "izmaiņas kārtējā gadā, salīdzinot ar valsts budžetu kārtējam gadam" 2024.gadā norādīts finansējums, kas ieplānots precizētajā 2024.gada budžeta likuma plānā, savukārt ailē "izmaiņas, salīdzinot ar vidēja termiņa budžeta ietvaru" 2025. - 2027.gadā norādīts finansējums, kas ieplānots Izglītības un zinātnes ministrijas budžeta 2025.-2028.gada bāzes izdevumos atbilstoši Ministru kabineta 2023. gada 12. decembra sēdes protokola Nr. 61 74.§.</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Laura Zemīta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5.4.sadaļas 1. tabulā ietverto noteikumu projekta 17.punkta izvērtējumu arī pret Komisijas regulas Nr.651/2014 58.panta 4.punktu.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Mažuika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24-TA-969</w:t>
    </w:r>
    <w:r>
      <w:br/>
    </w:r>
    <w:r w:rsidR="00000000" w:rsidRPr="00000000" w:rsidDel="00000000">
      <w:rPr>
        <w:rtl w:val="0"/>
      </w:rPr>
      <w:t xml:space="preserve">Izdrukāts 22.08.2024. 15.58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24-TA-969</w:t>
    </w:r>
    <w:r>
      <w:br/>
    </w:r>
    <w:r w:rsidR="00000000" w:rsidRPr="00000000" w:rsidDel="00000000">
      <w:rPr>
        <w:rtl w:val="0"/>
      </w:rPr>
      <w:t xml:space="preserve">Izdrukāts 22.08.2024. 15.58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Atzinumi_24-TA-969.docx</dc:title>
</cp:coreProperties>
</file>

<file path=docProps/custom.xml><?xml version="1.0" encoding="utf-8"?>
<Properties xmlns="http://schemas.openxmlformats.org/officeDocument/2006/custom-properties" xmlns:vt="http://schemas.openxmlformats.org/officeDocument/2006/docPropsVTypes"/>
</file>